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419" w:rsidRPr="00597AE7" w:rsidRDefault="00B678F6" w:rsidP="00EF50D5">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0" w:name="_GoBack"/>
      <w:bookmarkEnd w:id="0"/>
      <w:r w:rsidRPr="00597AE7">
        <w:rPr>
          <w:rFonts w:ascii="Times New Roman" w:eastAsia="Times New Roman" w:hAnsi="Times New Roman" w:cs="Times New Roman"/>
          <w:b/>
          <w:sz w:val="24"/>
          <w:szCs w:val="24"/>
          <w:lang w:eastAsia="ru-RU"/>
        </w:rPr>
        <w:t>МЕТОДИКА</w:t>
      </w:r>
    </w:p>
    <w:p w:rsidR="00DB5419" w:rsidRPr="00597AE7" w:rsidRDefault="00DB5419" w:rsidP="00EF50D5">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597AE7">
        <w:rPr>
          <w:rFonts w:ascii="Times New Roman" w:eastAsia="Times New Roman" w:hAnsi="Times New Roman" w:cs="Times New Roman"/>
          <w:b/>
          <w:sz w:val="24"/>
          <w:szCs w:val="24"/>
          <w:lang w:eastAsia="ru-RU"/>
        </w:rPr>
        <w:t>РАСПРЕДЕЛЕНИЯ ДОТАЦИЙ</w:t>
      </w:r>
    </w:p>
    <w:p w:rsidR="00DB5419" w:rsidRPr="00597AE7" w:rsidRDefault="00DB5419" w:rsidP="00EF50D5">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597AE7">
        <w:rPr>
          <w:rFonts w:ascii="Times New Roman" w:eastAsia="Times New Roman" w:hAnsi="Times New Roman" w:cs="Times New Roman"/>
          <w:b/>
          <w:sz w:val="24"/>
          <w:szCs w:val="24"/>
          <w:lang w:eastAsia="ru-RU"/>
        </w:rPr>
        <w:t>НА ВЫРАВНИВАНИЕ БЮДЖЕТНОЙ ОБЕСПЕЧЕННОСТИ</w:t>
      </w:r>
    </w:p>
    <w:p w:rsidR="00DB5419" w:rsidRPr="00597AE7" w:rsidRDefault="00DB5419" w:rsidP="00EF50D5">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597AE7">
        <w:rPr>
          <w:rFonts w:ascii="Times New Roman" w:eastAsia="Times New Roman" w:hAnsi="Times New Roman" w:cs="Times New Roman"/>
          <w:b/>
          <w:sz w:val="24"/>
          <w:szCs w:val="24"/>
          <w:lang w:eastAsia="ru-RU"/>
        </w:rPr>
        <w:t>МУНИЦИПАЛЬНЫХ РАЙОНОВ (ГОРОДСКИХ ОКРУГОВ)</w:t>
      </w:r>
    </w:p>
    <w:p w:rsidR="00366BF1" w:rsidRPr="00597AE7" w:rsidRDefault="00366BF1" w:rsidP="00EF50D5">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p>
    <w:p w:rsidR="00B678F6" w:rsidRPr="00597AE7" w:rsidRDefault="00B678F6" w:rsidP="00EF50D5">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597AE7">
        <w:rPr>
          <w:rFonts w:ascii="Times New Roman" w:eastAsia="Times New Roman" w:hAnsi="Times New Roman" w:cs="Times New Roman"/>
          <w:sz w:val="24"/>
          <w:szCs w:val="24"/>
          <w:lang w:eastAsia="ru-RU"/>
        </w:rPr>
        <w:t xml:space="preserve">(утверждена </w:t>
      </w:r>
      <w:r w:rsidR="00366BF1" w:rsidRPr="00597AE7">
        <w:rPr>
          <w:rFonts w:ascii="Times New Roman" w:eastAsia="Times New Roman" w:hAnsi="Times New Roman" w:cs="Times New Roman"/>
          <w:sz w:val="24"/>
          <w:szCs w:val="24"/>
          <w:lang w:eastAsia="ru-RU"/>
        </w:rPr>
        <w:t>законом Ханты-Мансийского автономного округа - Югры от 10.11.2008 № 132-оз «О межбюджетных отношениях в Ханты-Мансийском автономном округе – Югре»</w:t>
      </w:r>
      <w:r w:rsidR="00A24613">
        <w:rPr>
          <w:rFonts w:ascii="Times New Roman" w:eastAsia="Times New Roman" w:hAnsi="Times New Roman" w:cs="Times New Roman"/>
          <w:sz w:val="24"/>
          <w:szCs w:val="24"/>
          <w:lang w:eastAsia="ru-RU"/>
        </w:rPr>
        <w:t xml:space="preserve"> (приложение 2)</w:t>
      </w:r>
      <w:r w:rsidR="00366BF1" w:rsidRPr="00597AE7">
        <w:rPr>
          <w:rFonts w:ascii="Times New Roman" w:eastAsia="Times New Roman" w:hAnsi="Times New Roman" w:cs="Times New Roman"/>
          <w:sz w:val="24"/>
          <w:szCs w:val="24"/>
          <w:lang w:eastAsia="ru-RU"/>
        </w:rPr>
        <w:t>)</w:t>
      </w:r>
    </w:p>
    <w:p w:rsidR="00DB5419" w:rsidRPr="00597AE7" w:rsidRDefault="00DB5419" w:rsidP="00EF50D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597AE7" w:rsidRPr="00597AE7" w:rsidRDefault="00A40DB5" w:rsidP="00A40DB5">
      <w:pPr>
        <w:widowControl w:val="0"/>
        <w:tabs>
          <w:tab w:val="left" w:pos="2237"/>
          <w:tab w:val="center" w:pos="4677"/>
        </w:tabs>
        <w:autoSpaceDE w:val="0"/>
        <w:autoSpaceDN w:val="0"/>
        <w:adjustRightInd w:val="0"/>
        <w:spacing w:after="0" w:line="240" w:lineRule="auto"/>
        <w:outlineLvl w:val="1"/>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ab/>
      </w:r>
      <w:r>
        <w:rPr>
          <w:rFonts w:ascii="Times New Roman" w:eastAsiaTheme="minorEastAsia" w:hAnsi="Times New Roman" w:cs="Times New Roman"/>
          <w:b/>
          <w:bCs/>
          <w:sz w:val="24"/>
          <w:szCs w:val="24"/>
          <w:lang w:eastAsia="ru-RU"/>
        </w:rPr>
        <w:tab/>
      </w:r>
      <w:r w:rsidR="00597AE7" w:rsidRPr="00597AE7">
        <w:rPr>
          <w:rFonts w:ascii="Times New Roman" w:eastAsiaTheme="minorEastAsia" w:hAnsi="Times New Roman" w:cs="Times New Roman"/>
          <w:b/>
          <w:bCs/>
          <w:sz w:val="24"/>
          <w:szCs w:val="24"/>
          <w:lang w:eastAsia="ru-RU"/>
        </w:rPr>
        <w:t>I. Введение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 Настоящая Методика определяет механизм распределения дотаций на выравнивание бюджетной обеспеченности муниципальных районов (городских округов), включая порядок определения критерия выравнивания расчетной бюджетной обеспеченности муниципальных районов (городских округов), а также порядок расчета и установления заменяющих их дополнительных нормативов отчислений от налога на доходы физических лиц.</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2. Для целей настоящей Методики используются следующие основные понятия:</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 уровень расчетной бюджетной обеспеченности муниципального района (городского округа) - соотношение налоговых доходов на одного жителя, которые могут быть получены бюджетом муниципального района (городского округа) исходя из уровня развития и структуры экономики и (или) налоговой базы (налогового потенциала), и аналогичного показателя в среднем по муниципальным районам и городским округам автономного округа с учетом различий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2) налоговый потенциал муниципального района (городского округа) - оценка налоговых доходов, которые могут быть получены бюджетом муниципального района (городского округа) исходя из уровня развития и структуры экономики и (или) налоговой базы из основных налоговых источников, закрепленных за этим муниципальным районом (городским округом);</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3) индекс налогового потенциала муниципального района (городского округа) - отношение налогового потенциала муниципального района (городского округа) в расчете на одного жителя к аналогичному показателю в среднем по всем муниципальным районам (городским округам);</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4) индекс бюджетных расходов муниципального района (городского округа) - показатель, определяющий, во сколько раз больше (меньше) средств бюджета муниципального района (городского округа) в расчете на одного жителя по сравнению со средним по всем муниципальным районам (городским округам) уровнем необходимо затратить для осуществления полномочий по решению вопросов местного значения муниципального района (городского округа) с учетом специфики социально-демографического состава обслуживаемого населения и иных объективных факторов, влияющих на стоимость предоставляемых муниципальных услуг в расчете на одного жителя.</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3. Для целей настоящей Методики используются сведения о численности и структуре постоянного населения автономного округа согласно информации территориальных органов государственной статистики по состоянию на 1 января текущего финансового года.</w:t>
      </w:r>
    </w:p>
    <w:p w:rsidR="00597AE7" w:rsidRPr="00597AE7" w:rsidRDefault="00597AE7" w:rsidP="00597AE7">
      <w:pPr>
        <w:widowControl w:val="0"/>
        <w:autoSpaceDE w:val="0"/>
        <w:autoSpaceDN w:val="0"/>
        <w:adjustRightInd w:val="0"/>
        <w:spacing w:after="0" w:line="240" w:lineRule="auto"/>
        <w:jc w:val="center"/>
        <w:outlineLvl w:val="1"/>
        <w:rPr>
          <w:rFonts w:ascii="Times New Roman" w:eastAsiaTheme="minorEastAsia" w:hAnsi="Times New Roman" w:cs="Times New Roman"/>
          <w:b/>
          <w:bCs/>
          <w:sz w:val="24"/>
          <w:szCs w:val="24"/>
          <w:lang w:eastAsia="ru-RU"/>
        </w:rPr>
      </w:pPr>
      <w:r w:rsidRPr="00597AE7">
        <w:rPr>
          <w:rFonts w:ascii="Times New Roman" w:eastAsiaTheme="minorEastAsia" w:hAnsi="Times New Roman" w:cs="Times New Roman"/>
          <w:b/>
          <w:bCs/>
          <w:sz w:val="24"/>
          <w:szCs w:val="24"/>
          <w:lang w:eastAsia="ru-RU"/>
        </w:rPr>
        <w:lastRenderedPageBreak/>
        <w:t>II. Расчет объема дотаций на выравнивание бюджетной</w:t>
      </w: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597AE7">
        <w:rPr>
          <w:rFonts w:ascii="Times New Roman" w:eastAsiaTheme="minorEastAsia" w:hAnsi="Times New Roman" w:cs="Times New Roman"/>
          <w:b/>
          <w:bCs/>
          <w:sz w:val="24"/>
          <w:szCs w:val="24"/>
          <w:lang w:eastAsia="ru-RU"/>
        </w:rPr>
        <w:t>обеспеченности муниципальных районов (городских округов)</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 Общий объем дотаций на выравнивание бюджетной обеспеченности муниципальных районов (городских округов) на очередной финансовый год (первый или второй год планового периода) (Д)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Д = SUM</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((РНД / Н) x (БО</w:t>
      </w:r>
      <w:r w:rsidRPr="00597AE7">
        <w:rPr>
          <w:rFonts w:ascii="Times New Roman" w:eastAsiaTheme="minorEastAsia" w:hAnsi="Times New Roman" w:cs="Times New Roman"/>
          <w:sz w:val="24"/>
          <w:szCs w:val="24"/>
          <w:vertAlign w:val="superscript"/>
          <w:lang w:eastAsia="ru-RU"/>
        </w:rPr>
        <w:t>кр</w:t>
      </w:r>
      <w:r w:rsidRPr="00597AE7">
        <w:rPr>
          <w:rFonts w:ascii="Times New Roman" w:eastAsiaTheme="minorEastAsia" w:hAnsi="Times New Roman" w:cs="Times New Roman"/>
          <w:sz w:val="24"/>
          <w:szCs w:val="24"/>
          <w:lang w:eastAsia="ru-RU"/>
        </w:rPr>
        <w:t xml:space="preserve"> - БО</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 ИБР</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x 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РНД - принимаемый к расчету объем налоговых доходов бюджетов муниципальных районов (городских округов) на очередной финансовый год (первый или второй год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БО</w:t>
      </w:r>
      <w:r w:rsidRPr="00597AE7">
        <w:rPr>
          <w:rFonts w:ascii="Times New Roman" w:eastAsiaTheme="minorEastAsia" w:hAnsi="Times New Roman" w:cs="Times New Roman"/>
          <w:sz w:val="24"/>
          <w:szCs w:val="24"/>
          <w:vertAlign w:val="superscript"/>
          <w:lang w:eastAsia="ru-RU"/>
        </w:rPr>
        <w:t>кр</w:t>
      </w:r>
      <w:r w:rsidRPr="00597AE7">
        <w:rPr>
          <w:rFonts w:ascii="Times New Roman" w:eastAsiaTheme="minorEastAsia" w:hAnsi="Times New Roman" w:cs="Times New Roman"/>
          <w:sz w:val="24"/>
          <w:szCs w:val="24"/>
          <w:lang w:eastAsia="ru-RU"/>
        </w:rPr>
        <w:t xml:space="preserve"> - критерий выравнивания расчетной бюджетной обеспеченности муниципальных районов (городских округов) на очередной финансовый год (первый или второй год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БО</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уровень расчетной бюджетной обеспеченности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ИБР</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индекс бюджетных расходов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SUM - знак суммирования. Суммируются только слагаемые, имеющие положительное значение.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2. Критерий выравнивания расчетной бюджетной обеспеченности муниципальных районов (городских округов) на очередной финансовый год (первый или второй год планового периода) (БО</w:t>
      </w:r>
      <w:r w:rsidRPr="00597AE7">
        <w:rPr>
          <w:rFonts w:ascii="Times New Roman" w:eastAsiaTheme="minorEastAsia" w:hAnsi="Times New Roman" w:cs="Times New Roman"/>
          <w:sz w:val="24"/>
          <w:szCs w:val="24"/>
          <w:vertAlign w:val="superscript"/>
          <w:lang w:eastAsia="ru-RU"/>
        </w:rPr>
        <w:t>кр</w:t>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БО</w:t>
      </w:r>
      <w:r w:rsidRPr="00597AE7">
        <w:rPr>
          <w:rFonts w:ascii="Times New Roman" w:eastAsiaTheme="minorEastAsia" w:hAnsi="Times New Roman" w:cs="Times New Roman"/>
          <w:sz w:val="24"/>
          <w:szCs w:val="24"/>
          <w:vertAlign w:val="superscript"/>
          <w:lang w:eastAsia="ru-RU"/>
        </w:rPr>
        <w:t>кр =</w:t>
      </w:r>
      <w:r w:rsidRPr="00597AE7">
        <w:rPr>
          <w:rFonts w:ascii="Times New Roman" w:eastAsiaTheme="minorEastAsia" w:hAnsi="Times New Roman" w:cs="Times New Roman"/>
          <w:sz w:val="24"/>
          <w:szCs w:val="24"/>
          <w:lang w:eastAsia="ru-RU"/>
        </w:rPr>
        <w:t xml:space="preserve"> БО</w:t>
      </w:r>
      <w:r w:rsidRPr="00597AE7">
        <w:rPr>
          <w:rFonts w:ascii="Times New Roman" w:eastAsiaTheme="minorEastAsia" w:hAnsi="Times New Roman" w:cs="Times New Roman"/>
          <w:sz w:val="24"/>
          <w:szCs w:val="24"/>
          <w:vertAlign w:val="superscript"/>
          <w:lang w:eastAsia="ru-RU"/>
        </w:rPr>
        <w:t>кр0</w:t>
      </w:r>
      <w:r w:rsidRPr="00597AE7">
        <w:rPr>
          <w:rFonts w:ascii="Times New Roman" w:eastAsiaTheme="minorEastAsia" w:hAnsi="Times New Roman" w:cs="Times New Roman"/>
          <w:sz w:val="24"/>
          <w:szCs w:val="24"/>
          <w:lang w:eastAsia="ru-RU"/>
        </w:rPr>
        <w:t xml:space="preserve"> x ПНД</w:t>
      </w:r>
      <w:r w:rsidRPr="00597AE7">
        <w:rPr>
          <w:rFonts w:ascii="Times New Roman" w:eastAsiaTheme="minorEastAsia" w:hAnsi="Times New Roman" w:cs="Times New Roman"/>
          <w:sz w:val="24"/>
          <w:szCs w:val="24"/>
          <w:vertAlign w:val="superscript"/>
          <w:lang w:eastAsia="ru-RU"/>
        </w:rPr>
        <w:t>0</w:t>
      </w:r>
      <w:r w:rsidRPr="00597AE7">
        <w:rPr>
          <w:rFonts w:ascii="Times New Roman" w:eastAsiaTheme="minorEastAsia" w:hAnsi="Times New Roman" w:cs="Times New Roman"/>
          <w:sz w:val="24"/>
          <w:szCs w:val="24"/>
          <w:lang w:eastAsia="ru-RU"/>
        </w:rPr>
        <w:t xml:space="preserve"> x И</w:t>
      </w:r>
      <w:r w:rsidRPr="00597AE7">
        <w:rPr>
          <w:rFonts w:ascii="Times New Roman" w:eastAsiaTheme="minorEastAsia" w:hAnsi="Times New Roman" w:cs="Times New Roman"/>
          <w:sz w:val="24"/>
          <w:szCs w:val="24"/>
          <w:vertAlign w:val="subscript"/>
          <w:lang w:eastAsia="ru-RU"/>
        </w:rPr>
        <w:t>квмрго</w:t>
      </w:r>
      <w:r w:rsidRPr="00597AE7">
        <w:rPr>
          <w:rFonts w:ascii="Times New Roman" w:eastAsiaTheme="minorEastAsia" w:hAnsi="Times New Roman" w:cs="Times New Roman"/>
          <w:sz w:val="24"/>
          <w:szCs w:val="24"/>
          <w:lang w:eastAsia="ru-RU"/>
        </w:rPr>
        <w:t xml:space="preserve"> + ИРО) / ПНД при БО</w:t>
      </w:r>
      <w:r w:rsidRPr="00597AE7">
        <w:rPr>
          <w:rFonts w:ascii="Times New Roman" w:eastAsiaTheme="minorEastAsia" w:hAnsi="Times New Roman" w:cs="Times New Roman"/>
          <w:sz w:val="24"/>
          <w:szCs w:val="24"/>
          <w:vertAlign w:val="superscript"/>
          <w:lang w:eastAsia="ru-RU"/>
        </w:rPr>
        <w:t>кр0</w:t>
      </w:r>
      <w:r w:rsidRPr="00597AE7">
        <w:rPr>
          <w:rFonts w:ascii="Times New Roman" w:eastAsiaTheme="minorEastAsia" w:hAnsi="Times New Roman" w:cs="Times New Roman"/>
          <w:sz w:val="24"/>
          <w:szCs w:val="24"/>
          <w:lang w:eastAsia="ru-RU"/>
        </w:rPr>
        <w:t xml:space="preserve"> x ПНД</w:t>
      </w:r>
      <w:r w:rsidRPr="00597AE7">
        <w:rPr>
          <w:rFonts w:ascii="Times New Roman" w:eastAsiaTheme="minorEastAsia" w:hAnsi="Times New Roman" w:cs="Times New Roman"/>
          <w:sz w:val="24"/>
          <w:szCs w:val="24"/>
          <w:vertAlign w:val="superscript"/>
          <w:lang w:eastAsia="ru-RU"/>
        </w:rPr>
        <w:t>0</w:t>
      </w:r>
      <w:r w:rsidRPr="00597AE7">
        <w:rPr>
          <w:rFonts w:ascii="Times New Roman" w:eastAsiaTheme="minorEastAsia" w:hAnsi="Times New Roman" w:cs="Times New Roman"/>
          <w:sz w:val="24"/>
          <w:szCs w:val="24"/>
          <w:lang w:eastAsia="ru-RU"/>
        </w:rPr>
        <w:t xml:space="preserve"> x И</w:t>
      </w:r>
      <w:r w:rsidRPr="00597AE7">
        <w:rPr>
          <w:rFonts w:ascii="Times New Roman" w:eastAsiaTheme="minorEastAsia" w:hAnsi="Times New Roman" w:cs="Times New Roman"/>
          <w:sz w:val="24"/>
          <w:szCs w:val="24"/>
          <w:vertAlign w:val="subscript"/>
          <w:lang w:eastAsia="ru-RU"/>
        </w:rPr>
        <w:t>квмрго</w:t>
      </w:r>
      <w:r w:rsidRPr="00597AE7">
        <w:rPr>
          <w:rFonts w:ascii="Times New Roman" w:eastAsiaTheme="minorEastAsia" w:hAnsi="Times New Roman" w:cs="Times New Roman"/>
          <w:sz w:val="24"/>
          <w:szCs w:val="24"/>
          <w:lang w:eastAsia="ru-RU"/>
        </w:rPr>
        <w:t xml:space="preserve"> + ИРО) / ПНД &gt;= БО</w:t>
      </w:r>
      <w:r w:rsidRPr="00597AE7">
        <w:rPr>
          <w:rFonts w:ascii="Times New Roman" w:eastAsiaTheme="minorEastAsia" w:hAnsi="Times New Roman" w:cs="Times New Roman"/>
          <w:sz w:val="24"/>
          <w:szCs w:val="24"/>
          <w:vertAlign w:val="superscript"/>
          <w:lang w:eastAsia="ru-RU"/>
        </w:rPr>
        <w:t>кр0</w:t>
      </w:r>
      <w:r w:rsidRPr="00597AE7">
        <w:rPr>
          <w:rFonts w:ascii="Times New Roman" w:eastAsiaTheme="minorEastAsia" w:hAnsi="Times New Roman" w:cs="Times New Roman"/>
          <w:sz w:val="24"/>
          <w:szCs w:val="24"/>
          <w:lang w:eastAsia="ru-RU"/>
        </w:rPr>
        <w:t>,</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БО</w:t>
      </w:r>
      <w:r w:rsidRPr="00597AE7">
        <w:rPr>
          <w:rFonts w:ascii="Times New Roman" w:eastAsiaTheme="minorEastAsia" w:hAnsi="Times New Roman" w:cs="Times New Roman"/>
          <w:sz w:val="24"/>
          <w:szCs w:val="24"/>
          <w:vertAlign w:val="superscript"/>
          <w:lang w:eastAsia="ru-RU"/>
        </w:rPr>
        <w:t>кр</w:t>
      </w:r>
      <w:r w:rsidRPr="00597AE7">
        <w:rPr>
          <w:rFonts w:ascii="Times New Roman" w:eastAsiaTheme="minorEastAsia" w:hAnsi="Times New Roman" w:cs="Times New Roman"/>
          <w:sz w:val="24"/>
          <w:szCs w:val="24"/>
          <w:lang w:eastAsia="ru-RU"/>
        </w:rPr>
        <w:t xml:space="preserve"> = БО</w:t>
      </w:r>
      <w:r w:rsidRPr="00597AE7">
        <w:rPr>
          <w:rFonts w:ascii="Times New Roman" w:eastAsiaTheme="minorEastAsia" w:hAnsi="Times New Roman" w:cs="Times New Roman"/>
          <w:sz w:val="24"/>
          <w:szCs w:val="24"/>
          <w:vertAlign w:val="superscript"/>
          <w:lang w:eastAsia="ru-RU"/>
        </w:rPr>
        <w:t>кр0</w:t>
      </w:r>
      <w:r w:rsidRPr="00597AE7">
        <w:rPr>
          <w:rFonts w:ascii="Times New Roman" w:eastAsiaTheme="minorEastAsia" w:hAnsi="Times New Roman" w:cs="Times New Roman"/>
          <w:sz w:val="24"/>
          <w:szCs w:val="24"/>
          <w:lang w:eastAsia="ru-RU"/>
        </w:rPr>
        <w:t xml:space="preserve"> при БО</w:t>
      </w:r>
      <w:r w:rsidRPr="00597AE7">
        <w:rPr>
          <w:rFonts w:ascii="Times New Roman" w:eastAsiaTheme="minorEastAsia" w:hAnsi="Times New Roman" w:cs="Times New Roman"/>
          <w:sz w:val="24"/>
          <w:szCs w:val="24"/>
          <w:vertAlign w:val="superscript"/>
          <w:lang w:eastAsia="ru-RU"/>
        </w:rPr>
        <w:t>кр0</w:t>
      </w:r>
      <w:r w:rsidRPr="00597AE7">
        <w:rPr>
          <w:rFonts w:ascii="Times New Roman" w:eastAsiaTheme="minorEastAsia" w:hAnsi="Times New Roman" w:cs="Times New Roman"/>
          <w:sz w:val="24"/>
          <w:szCs w:val="24"/>
          <w:lang w:eastAsia="ru-RU"/>
        </w:rPr>
        <w:t xml:space="preserve"> x ПНД</w:t>
      </w:r>
      <w:r w:rsidRPr="00597AE7">
        <w:rPr>
          <w:rFonts w:ascii="Times New Roman" w:eastAsiaTheme="minorEastAsia" w:hAnsi="Times New Roman" w:cs="Times New Roman"/>
          <w:sz w:val="24"/>
          <w:szCs w:val="24"/>
          <w:vertAlign w:val="superscript"/>
          <w:lang w:eastAsia="ru-RU"/>
        </w:rPr>
        <w:t>0</w:t>
      </w:r>
      <w:r w:rsidRPr="00597AE7">
        <w:rPr>
          <w:rFonts w:ascii="Times New Roman" w:eastAsiaTheme="minorEastAsia" w:hAnsi="Times New Roman" w:cs="Times New Roman"/>
          <w:sz w:val="24"/>
          <w:szCs w:val="24"/>
          <w:lang w:eastAsia="ru-RU"/>
        </w:rPr>
        <w:t xml:space="preserve"> x И</w:t>
      </w:r>
      <w:r w:rsidRPr="00597AE7">
        <w:rPr>
          <w:rFonts w:ascii="Times New Roman" w:eastAsiaTheme="minorEastAsia" w:hAnsi="Times New Roman" w:cs="Times New Roman"/>
          <w:sz w:val="24"/>
          <w:szCs w:val="24"/>
          <w:vertAlign w:val="subscript"/>
          <w:lang w:eastAsia="ru-RU"/>
        </w:rPr>
        <w:t>квмрго</w:t>
      </w:r>
      <w:r w:rsidRPr="00597AE7">
        <w:rPr>
          <w:rFonts w:ascii="Times New Roman" w:eastAsiaTheme="minorEastAsia" w:hAnsi="Times New Roman" w:cs="Times New Roman"/>
          <w:sz w:val="24"/>
          <w:szCs w:val="24"/>
          <w:lang w:eastAsia="ru-RU"/>
        </w:rPr>
        <w:t xml:space="preserve"> + ИРО) / ПНД &lt; БО</w:t>
      </w:r>
      <w:r w:rsidRPr="00597AE7">
        <w:rPr>
          <w:rFonts w:ascii="Times New Roman" w:eastAsiaTheme="minorEastAsia" w:hAnsi="Times New Roman" w:cs="Times New Roman"/>
          <w:sz w:val="24"/>
          <w:szCs w:val="24"/>
          <w:vertAlign w:val="superscript"/>
          <w:lang w:eastAsia="ru-RU"/>
        </w:rPr>
        <w:t>кр0</w:t>
      </w:r>
      <w:r w:rsidRPr="00597AE7">
        <w:rPr>
          <w:rFonts w:ascii="Times New Roman" w:eastAsiaTheme="minorEastAsia" w:hAnsi="Times New Roman" w:cs="Times New Roman"/>
          <w:sz w:val="24"/>
          <w:szCs w:val="24"/>
          <w:lang w:eastAsia="ru-RU"/>
        </w:rPr>
        <w:t>,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БО</w:t>
      </w:r>
      <w:r w:rsidRPr="00597AE7">
        <w:rPr>
          <w:rFonts w:ascii="Times New Roman" w:eastAsiaTheme="minorEastAsia" w:hAnsi="Times New Roman" w:cs="Times New Roman"/>
          <w:sz w:val="24"/>
          <w:szCs w:val="24"/>
          <w:vertAlign w:val="superscript"/>
          <w:lang w:eastAsia="ru-RU"/>
        </w:rPr>
        <w:t>кр0</w:t>
      </w:r>
      <w:r w:rsidRPr="00597AE7">
        <w:rPr>
          <w:rFonts w:ascii="Times New Roman" w:eastAsiaTheme="minorEastAsia" w:hAnsi="Times New Roman" w:cs="Times New Roman"/>
          <w:sz w:val="24"/>
          <w:szCs w:val="24"/>
          <w:lang w:eastAsia="ru-RU"/>
        </w:rPr>
        <w:t xml:space="preserve"> - критерий выравнивания расчетной бюджетной обеспеченности муниципальных районов (городских округов), установленный законом автономного округа о бюджете автономного округа на текущий финансовый год (очередной финансовый год, первый год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ПНД</w:t>
      </w:r>
      <w:r w:rsidRPr="00597AE7">
        <w:rPr>
          <w:rFonts w:ascii="Times New Roman" w:eastAsiaTheme="minorEastAsia" w:hAnsi="Times New Roman" w:cs="Times New Roman"/>
          <w:sz w:val="24"/>
          <w:szCs w:val="24"/>
          <w:vertAlign w:val="superscript"/>
          <w:lang w:eastAsia="ru-RU"/>
        </w:rPr>
        <w:t>0</w:t>
      </w:r>
      <w:r w:rsidRPr="00597AE7">
        <w:rPr>
          <w:rFonts w:ascii="Times New Roman" w:eastAsiaTheme="minorEastAsia" w:hAnsi="Times New Roman" w:cs="Times New Roman"/>
          <w:sz w:val="24"/>
          <w:szCs w:val="24"/>
          <w:lang w:eastAsia="ru-RU"/>
        </w:rPr>
        <w:t xml:space="preserve"> - прогноз налоговых доходов бюджетов муниципальных районов (городских округов) в текущем финансовом году (очередном финансовом году или первом году планового периода) без учета доходов по дополнительным нормативам отчислений от налога на доходы физических лиц;</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ПНД - прогноз налоговых доходов бюджетов муниципальных районов (городских округов) на очередной финансовый год (первый или второй год планового периода) без учета доходов по дополнительным нормативам отчислений от налога на доходы физических лиц;</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И</w:t>
      </w:r>
      <w:r w:rsidRPr="00597AE7">
        <w:rPr>
          <w:rFonts w:ascii="Times New Roman" w:eastAsiaTheme="minorEastAsia" w:hAnsi="Times New Roman" w:cs="Times New Roman"/>
          <w:sz w:val="24"/>
          <w:szCs w:val="24"/>
          <w:vertAlign w:val="subscript"/>
          <w:lang w:eastAsia="ru-RU"/>
        </w:rPr>
        <w:t>квмрго</w:t>
      </w:r>
      <w:r w:rsidRPr="00597AE7">
        <w:rPr>
          <w:rFonts w:ascii="Times New Roman" w:eastAsiaTheme="minorEastAsia" w:hAnsi="Times New Roman" w:cs="Times New Roman"/>
          <w:sz w:val="24"/>
          <w:szCs w:val="24"/>
          <w:lang w:eastAsia="ru-RU"/>
        </w:rPr>
        <w:t xml:space="preserve"> - индекс корректировки критерия выравнивания расчетной бюджетной </w:t>
      </w:r>
      <w:r w:rsidRPr="00597AE7">
        <w:rPr>
          <w:rFonts w:ascii="Times New Roman" w:eastAsiaTheme="minorEastAsia" w:hAnsi="Times New Roman" w:cs="Times New Roman"/>
          <w:sz w:val="24"/>
          <w:szCs w:val="24"/>
          <w:lang w:eastAsia="ru-RU"/>
        </w:rPr>
        <w:lastRenderedPageBreak/>
        <w:t>обеспеченности муниципальных районов (городских округов) на очередной финансовый год (первый или второй год планового периода), который определяется исходя из финансовых возможностей бюджета автономного округа в соответствующем финансовом году и не может принимать значение меньше 1;</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ИРО - изменение объема расходных обязательств муниципальных районов (городских округов) в части полномочий по вопросам местного значения, вызванное изменением разграничения полномочий в очередном финансовом году (первом или втором году планового периода), а также изменение стоимости расходных обязательств муниципальных районов (городских округов), связанных с выполнением требований, установленных нормативными правовыми актами Российской Федерации.</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3. Общий объем дотаций на выравнивание бюджетной обеспеченности муниципальных районов (городских округов) на очередной финансовый год (первый и второй годы планового периода) (Д) состоит из двух частей и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Д = Д1 + Д2,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Д1 - объем первой части дотации на выравнивание бюджетной обеспеченности муниципальных районов (городских округов), предоставляемой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 составляющий 85 процентов общего объема дотации;</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Д2 - объем второй части дотации на выравнивание бюджетной обеспеченности муниципальных районов (городских округов), предоставляемой исходя из численности жителей муниципального района (городского округа) в расчете на одного жителя, составляющий 15 процентов общего объема дотации.</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outlineLvl w:val="1"/>
        <w:rPr>
          <w:rFonts w:ascii="Times New Roman" w:eastAsiaTheme="minorEastAsia" w:hAnsi="Times New Roman" w:cs="Times New Roman"/>
          <w:b/>
          <w:bCs/>
          <w:sz w:val="24"/>
          <w:szCs w:val="24"/>
          <w:lang w:eastAsia="ru-RU"/>
        </w:rPr>
      </w:pPr>
      <w:r w:rsidRPr="00597AE7">
        <w:rPr>
          <w:rFonts w:ascii="Times New Roman" w:eastAsiaTheme="minorEastAsia" w:hAnsi="Times New Roman" w:cs="Times New Roman"/>
          <w:b/>
          <w:bCs/>
          <w:sz w:val="24"/>
          <w:szCs w:val="24"/>
          <w:lang w:eastAsia="ru-RU"/>
        </w:rPr>
        <w:t>III. Расчет распределения дотаций на выравнивание бюджетной</w:t>
      </w: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597AE7">
        <w:rPr>
          <w:rFonts w:ascii="Times New Roman" w:eastAsiaTheme="minorEastAsia" w:hAnsi="Times New Roman" w:cs="Times New Roman"/>
          <w:b/>
          <w:bCs/>
          <w:sz w:val="24"/>
          <w:szCs w:val="24"/>
          <w:lang w:eastAsia="ru-RU"/>
        </w:rPr>
        <w:t>обеспеченности муниципальных районов (городских округов)</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1. Общий объем дотации на очередной финансовый год </w:t>
      </w:r>
      <w:r w:rsidRPr="00597AE7">
        <w:rPr>
          <w:rFonts w:ascii="Times New Roman" w:eastAsiaTheme="minorEastAsia" w:hAnsi="Times New Roman" w:cs="Times New Roman"/>
          <w:noProof/>
          <w:position w:val="-10"/>
          <w:sz w:val="24"/>
          <w:szCs w:val="24"/>
          <w:lang w:eastAsia="ru-RU"/>
        </w:rPr>
        <w:drawing>
          <wp:inline distT="0" distB="0" distL="0" distR="0" wp14:anchorId="53209C09" wp14:editId="250EEDCC">
            <wp:extent cx="504825" cy="285750"/>
            <wp:effectExtent l="0" t="0" r="9525" b="0"/>
            <wp:docPr id="156"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и первый год планового периода </w:t>
      </w:r>
      <w:r w:rsidRPr="00597AE7">
        <w:rPr>
          <w:rFonts w:ascii="Times New Roman" w:eastAsiaTheme="minorEastAsia" w:hAnsi="Times New Roman" w:cs="Times New Roman"/>
          <w:noProof/>
          <w:position w:val="-10"/>
          <w:sz w:val="24"/>
          <w:szCs w:val="24"/>
          <w:lang w:eastAsia="ru-RU"/>
        </w:rPr>
        <w:drawing>
          <wp:inline distT="0" distB="0" distL="0" distR="0" wp14:anchorId="48C58480" wp14:editId="5C78F0B9">
            <wp:extent cx="609600" cy="285750"/>
            <wp:effectExtent l="0" t="0" r="0" b="0"/>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i-му муниципальному району (городскому округу), у которого соответствующий расчетный объем дотации превышает объем дотации на первый год планового периода и второй год планового периода, утвержденный законом автономного округа о бюджете автономного округа на очередной финансовый год и на плановый период (за исключением предусмотренных Бюджетным кодексом Российской Федерации случаев снижения размера дотации на выравнивание бюджетной обеспеченности муниципальных районов (городских округов), а также общий объем дотации на второй год планового периода </w:t>
      </w:r>
      <w:r w:rsidRPr="00597AE7">
        <w:rPr>
          <w:rFonts w:ascii="Times New Roman" w:eastAsiaTheme="minorEastAsia" w:hAnsi="Times New Roman" w:cs="Times New Roman"/>
          <w:noProof/>
          <w:position w:val="-10"/>
          <w:sz w:val="24"/>
          <w:szCs w:val="24"/>
          <w:lang w:eastAsia="ru-RU"/>
        </w:rPr>
        <w:drawing>
          <wp:inline distT="0" distB="0" distL="0" distR="0" wp14:anchorId="26B7DB53" wp14:editId="7665CB20">
            <wp:extent cx="638175" cy="285750"/>
            <wp:effectExtent l="0" t="0" r="9525"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817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рассчитываются по следующим формулам:</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3A2E91DF" wp14:editId="279EEC9C">
            <wp:extent cx="4905375" cy="285750"/>
            <wp:effectExtent l="0" t="0" r="0"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05375"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B470B">
        <w:rPr>
          <w:rFonts w:ascii="Times New Roman" w:eastAsiaTheme="minorEastAsia" w:hAnsi="Times New Roman" w:cs="Times New Roman"/>
          <w:i/>
          <w:noProof/>
          <w:position w:val="-10"/>
          <w:sz w:val="24"/>
          <w:szCs w:val="24"/>
          <w:lang w:eastAsia="ru-RU"/>
        </w:rPr>
        <w:drawing>
          <wp:inline distT="0" distB="0" distL="0" distR="0" wp14:anchorId="6720C27B" wp14:editId="6ED1D82D">
            <wp:extent cx="4824919" cy="276699"/>
            <wp:effectExtent l="0" t="0" r="0" b="9525"/>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2471" cy="28344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CB470B"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i/>
          <w:sz w:val="28"/>
          <w:szCs w:val="28"/>
          <w:lang w:eastAsia="ru-RU"/>
        </w:rPr>
      </w:pPr>
      <w:r w:rsidRPr="00CB470B">
        <w:rPr>
          <w:rFonts w:ascii="Times New Roman" w:eastAsiaTheme="minorEastAsia" w:hAnsi="Times New Roman" w:cs="Times New Roman"/>
          <w:i/>
          <w:sz w:val="28"/>
          <w:szCs w:val="28"/>
          <w:lang w:eastAsia="ru-RU"/>
        </w:rPr>
        <w:t>ОД</w:t>
      </w:r>
      <w:r w:rsidRPr="00CB470B">
        <w:rPr>
          <w:rFonts w:ascii="Times New Roman" w:eastAsiaTheme="minorEastAsia" w:hAnsi="Times New Roman" w:cs="Times New Roman"/>
          <w:i/>
          <w:sz w:val="28"/>
          <w:szCs w:val="28"/>
          <w:vertAlign w:val="subscript"/>
          <w:lang w:eastAsia="ru-RU"/>
        </w:rPr>
        <w:t>i</w:t>
      </w:r>
      <w:r w:rsidRPr="00CB470B">
        <w:rPr>
          <w:rFonts w:ascii="Times New Roman" w:eastAsiaTheme="minorEastAsia" w:hAnsi="Times New Roman" w:cs="Times New Roman"/>
          <w:i/>
          <w:sz w:val="28"/>
          <w:szCs w:val="28"/>
          <w:vertAlign w:val="superscript"/>
          <w:lang w:eastAsia="ru-RU"/>
        </w:rPr>
        <w:t>t+2</w:t>
      </w:r>
      <w:r w:rsidRPr="00CB470B">
        <w:rPr>
          <w:rFonts w:ascii="Times New Roman" w:eastAsiaTheme="minorEastAsia" w:hAnsi="Times New Roman" w:cs="Times New Roman"/>
          <w:i/>
          <w:sz w:val="28"/>
          <w:szCs w:val="28"/>
          <w:lang w:eastAsia="ru-RU"/>
        </w:rPr>
        <w:t xml:space="preserve"> = РД </w:t>
      </w:r>
      <w:r w:rsidRPr="00CB470B">
        <w:rPr>
          <w:rFonts w:ascii="Times New Roman" w:eastAsiaTheme="minorEastAsia" w:hAnsi="Times New Roman" w:cs="Times New Roman"/>
          <w:i/>
          <w:sz w:val="28"/>
          <w:szCs w:val="28"/>
          <w:vertAlign w:val="subscript"/>
          <w:lang w:eastAsia="ru-RU"/>
        </w:rPr>
        <w:t>i</w:t>
      </w:r>
      <w:r w:rsidRPr="00CB470B">
        <w:rPr>
          <w:rFonts w:ascii="Times New Roman" w:eastAsiaTheme="minorEastAsia" w:hAnsi="Times New Roman" w:cs="Times New Roman"/>
          <w:i/>
          <w:sz w:val="28"/>
          <w:szCs w:val="28"/>
          <w:vertAlign w:val="superscript"/>
          <w:lang w:eastAsia="ru-RU"/>
        </w:rPr>
        <w:t>t+2</w:t>
      </w:r>
      <w:r w:rsidRPr="00CB470B">
        <w:rPr>
          <w:rFonts w:ascii="Times New Roman" w:eastAsiaTheme="minorEastAsia" w:hAnsi="Times New Roman" w:cs="Times New Roman"/>
          <w:i/>
          <w:sz w:val="28"/>
          <w:szCs w:val="28"/>
          <w:lang w:eastAsia="ru-RU"/>
        </w:rPr>
        <w:t xml:space="preserve">, </w:t>
      </w:r>
      <w:r w:rsidRPr="00CB470B">
        <w:rPr>
          <w:rFonts w:ascii="Times New Roman" w:eastAsiaTheme="minorEastAsia" w:hAnsi="Times New Roman" w:cs="Times New Roman"/>
          <w:sz w:val="28"/>
          <w:szCs w:val="28"/>
          <w:lang w:eastAsia="ru-RU"/>
        </w:rPr>
        <w:t>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710A56A9" wp14:editId="34AB93D9">
            <wp:extent cx="361950" cy="285750"/>
            <wp:effectExtent l="0" t="0" r="0" b="0"/>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w:t>
      </w:r>
      <w:r w:rsidRPr="00597AE7">
        <w:rPr>
          <w:rFonts w:ascii="Times New Roman" w:eastAsiaTheme="minorEastAsia" w:hAnsi="Times New Roman" w:cs="Times New Roman"/>
          <w:noProof/>
          <w:position w:val="-10"/>
          <w:sz w:val="24"/>
          <w:szCs w:val="24"/>
          <w:lang w:eastAsia="ru-RU"/>
        </w:rPr>
        <w:drawing>
          <wp:inline distT="0" distB="0" distL="0" distR="0" wp14:anchorId="3553A873" wp14:editId="65721B97">
            <wp:extent cx="457200" cy="285750"/>
            <wp:effectExtent l="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объем дотации (включая часть дотации, передаваемой в форме дополнительных нормативов отчисления от налога на доходы физических лиц) i-му муниципальному району (городскому округу), утвержденный соответственно на очередной финансовый год и первый год планового периода законом автономного округа о бюджете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Д</w:t>
      </w:r>
      <w:r w:rsidRPr="00597AE7">
        <w:rPr>
          <w:rFonts w:ascii="Times New Roman" w:eastAsiaTheme="minorEastAsia" w:hAnsi="Times New Roman" w:cs="Times New Roman"/>
          <w:sz w:val="24"/>
          <w:szCs w:val="24"/>
          <w:vertAlign w:val="superscript"/>
          <w:lang w:eastAsia="ru-RU"/>
        </w:rPr>
        <w:t>t</w:t>
      </w:r>
      <w:r w:rsidRPr="00597AE7">
        <w:rPr>
          <w:rFonts w:ascii="Times New Roman" w:eastAsiaTheme="minorEastAsia" w:hAnsi="Times New Roman" w:cs="Times New Roman"/>
          <w:sz w:val="24"/>
          <w:szCs w:val="24"/>
          <w:lang w:eastAsia="ru-RU"/>
        </w:rPr>
        <w:t>, Д</w:t>
      </w:r>
      <w:r w:rsidRPr="00597AE7">
        <w:rPr>
          <w:rFonts w:ascii="Times New Roman" w:eastAsiaTheme="minorEastAsia" w:hAnsi="Times New Roman" w:cs="Times New Roman"/>
          <w:sz w:val="24"/>
          <w:szCs w:val="24"/>
          <w:vertAlign w:val="superscript"/>
          <w:lang w:eastAsia="ru-RU"/>
        </w:rPr>
        <w:t>t+1</w:t>
      </w:r>
      <w:r w:rsidR="00CB470B">
        <w:rPr>
          <w:rFonts w:ascii="Times New Roman" w:eastAsiaTheme="minorEastAsia" w:hAnsi="Times New Roman" w:cs="Times New Roman"/>
          <w:sz w:val="24"/>
          <w:szCs w:val="24"/>
          <w:vertAlign w:val="superscript"/>
          <w:lang w:eastAsia="ru-RU"/>
        </w:rPr>
        <w:t xml:space="preserve"> </w:t>
      </w:r>
      <w:r w:rsidRPr="00597AE7">
        <w:rPr>
          <w:rFonts w:ascii="Times New Roman" w:eastAsiaTheme="minorEastAsia" w:hAnsi="Times New Roman" w:cs="Times New Roman"/>
          <w:sz w:val="24"/>
          <w:szCs w:val="24"/>
          <w:lang w:eastAsia="ru-RU"/>
        </w:rPr>
        <w:t>- общий объем дотаций на выравнивание бюджетной обеспеченности муниципальных районов (городских округов) на очередной финансовый год</w:t>
      </w:r>
      <w:r w:rsidR="00CB470B">
        <w:rPr>
          <w:rFonts w:ascii="Times New Roman" w:eastAsiaTheme="minorEastAsia" w:hAnsi="Times New Roman" w:cs="Times New Roman"/>
          <w:sz w:val="24"/>
          <w:szCs w:val="24"/>
          <w:lang w:eastAsia="ru-RU"/>
        </w:rPr>
        <w:t xml:space="preserve"> и</w:t>
      </w:r>
      <w:r w:rsidRPr="00597AE7">
        <w:rPr>
          <w:rFonts w:ascii="Times New Roman" w:eastAsiaTheme="minorEastAsia" w:hAnsi="Times New Roman" w:cs="Times New Roman"/>
          <w:sz w:val="24"/>
          <w:szCs w:val="24"/>
          <w:lang w:eastAsia="ru-RU"/>
        </w:rPr>
        <w:t xml:space="preserve"> первый </w:t>
      </w:r>
      <w:r w:rsidR="00CB470B">
        <w:rPr>
          <w:rFonts w:ascii="Times New Roman" w:eastAsiaTheme="minorEastAsia" w:hAnsi="Times New Roman" w:cs="Times New Roman"/>
          <w:sz w:val="24"/>
          <w:szCs w:val="24"/>
          <w:lang w:eastAsia="ru-RU"/>
        </w:rPr>
        <w:t>год</w:t>
      </w:r>
      <w:r w:rsidRPr="00597AE7">
        <w:rPr>
          <w:rFonts w:ascii="Times New Roman" w:eastAsiaTheme="minorEastAsia" w:hAnsi="Times New Roman" w:cs="Times New Roman"/>
          <w:sz w:val="24"/>
          <w:szCs w:val="24"/>
          <w:lang w:eastAsia="ru-RU"/>
        </w:rPr>
        <w:t xml:space="preserve">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65996B8F" wp14:editId="49C048E1">
            <wp:extent cx="361950" cy="285750"/>
            <wp:effectExtent l="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w:t>
      </w:r>
      <w:r w:rsidRPr="00597AE7">
        <w:rPr>
          <w:rFonts w:ascii="Times New Roman" w:eastAsiaTheme="minorEastAsia" w:hAnsi="Times New Roman" w:cs="Times New Roman"/>
          <w:noProof/>
          <w:position w:val="-10"/>
          <w:sz w:val="24"/>
          <w:szCs w:val="24"/>
          <w:lang w:eastAsia="ru-RU"/>
        </w:rPr>
        <w:drawing>
          <wp:inline distT="0" distB="0" distL="0" distR="0" wp14:anchorId="70B8CA35" wp14:editId="7C3257B9">
            <wp:extent cx="457200" cy="285750"/>
            <wp:effectExtent l="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w:t>
      </w:r>
      <w:r w:rsidRPr="00597AE7">
        <w:rPr>
          <w:rFonts w:ascii="Times New Roman" w:eastAsiaTheme="minorEastAsia" w:hAnsi="Times New Roman" w:cs="Times New Roman"/>
          <w:noProof/>
          <w:position w:val="-10"/>
          <w:sz w:val="24"/>
          <w:szCs w:val="24"/>
          <w:lang w:eastAsia="ru-RU"/>
        </w:rPr>
        <w:drawing>
          <wp:inline distT="0" distB="0" distL="0" distR="0" wp14:anchorId="325C59CE" wp14:editId="1BEE0895">
            <wp:extent cx="495300" cy="285750"/>
            <wp:effectExtent l="0" t="0" r="0"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расчетный объем дотации соответственно на очередной финансовый год, первый и второй годы планового периода i-му муниципальному району (городскому округу);</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Rобщ</w:t>
      </w:r>
      <w:r w:rsidRPr="00597AE7">
        <w:rPr>
          <w:rFonts w:ascii="Times New Roman" w:eastAsiaTheme="minorEastAsia" w:hAnsi="Times New Roman" w:cs="Times New Roman"/>
          <w:sz w:val="24"/>
          <w:szCs w:val="24"/>
          <w:vertAlign w:val="superscript"/>
          <w:lang w:eastAsia="ru-RU"/>
        </w:rPr>
        <w:t>t+1</w:t>
      </w:r>
      <w:r w:rsidRPr="00597AE7">
        <w:rPr>
          <w:rFonts w:ascii="Times New Roman" w:eastAsiaTheme="minorEastAsia" w:hAnsi="Times New Roman" w:cs="Times New Roman"/>
          <w:sz w:val="24"/>
          <w:szCs w:val="24"/>
          <w:lang w:eastAsia="ru-RU"/>
        </w:rPr>
        <w:t xml:space="preserve"> - распределяемая часть общего объема дотаций на выравнивание бюджетной обеспеченности муниципальных районов (городских округов) в первом год</w:t>
      </w:r>
      <w:r w:rsidR="00CB470B">
        <w:rPr>
          <w:rFonts w:ascii="Times New Roman" w:eastAsiaTheme="minorEastAsia" w:hAnsi="Times New Roman" w:cs="Times New Roman"/>
          <w:sz w:val="24"/>
          <w:szCs w:val="24"/>
          <w:lang w:eastAsia="ru-RU"/>
        </w:rPr>
        <w:t>у</w:t>
      </w:r>
      <w:r w:rsidRPr="00597AE7">
        <w:rPr>
          <w:rFonts w:ascii="Times New Roman" w:eastAsiaTheme="minorEastAsia" w:hAnsi="Times New Roman" w:cs="Times New Roman"/>
          <w:sz w:val="24"/>
          <w:szCs w:val="24"/>
          <w:lang w:eastAsia="ru-RU"/>
        </w:rPr>
        <w:t xml:space="preserve">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SUM - знак суммирования. Суммируются только слагаемые, имеющие положительное значение.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2. Общий объем дотации на очередной финансовый год </w:t>
      </w:r>
      <w:r w:rsidRPr="00597AE7">
        <w:rPr>
          <w:rFonts w:ascii="Times New Roman" w:eastAsiaTheme="minorEastAsia" w:hAnsi="Times New Roman" w:cs="Times New Roman"/>
          <w:noProof/>
          <w:position w:val="-10"/>
          <w:sz w:val="24"/>
          <w:szCs w:val="24"/>
          <w:lang w:eastAsia="ru-RU"/>
        </w:rPr>
        <w:drawing>
          <wp:inline distT="0" distB="0" distL="0" distR="0" wp14:anchorId="15CC0051" wp14:editId="4E34E224">
            <wp:extent cx="504825" cy="285750"/>
            <wp:effectExtent l="0" t="0" r="9525"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и первый год планового периода </w:t>
      </w:r>
      <w:r w:rsidRPr="00597AE7">
        <w:rPr>
          <w:rFonts w:ascii="Times New Roman" w:eastAsiaTheme="minorEastAsia" w:hAnsi="Times New Roman" w:cs="Times New Roman"/>
          <w:noProof/>
          <w:position w:val="-10"/>
          <w:sz w:val="24"/>
          <w:szCs w:val="24"/>
          <w:lang w:eastAsia="ru-RU"/>
        </w:rPr>
        <w:drawing>
          <wp:inline distT="0" distB="0" distL="0" distR="0" wp14:anchorId="5DD45A30" wp14:editId="3694DED8">
            <wp:extent cx="609600" cy="285750"/>
            <wp:effectExtent l="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i-му муниципальному району (городскому округу), у которого расчетный объем дотации не превышает объем дотации, утвержденный законом автономного округа о бюджете автономного округа (за исключением предусмотренных Бюджетным кодексом Российской Федерации случаев снижения размера дотации на выравнивание бюджетной обеспеченности муниципальных районов (городских округов), рассчитывается по следующим формулам:</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0835E488" wp14:editId="168CE3A4">
            <wp:extent cx="914400" cy="285750"/>
            <wp:effectExtent l="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3605C0D4" wp14:editId="15C34BFA">
            <wp:extent cx="1476375" cy="285750"/>
            <wp:effectExtent l="0" t="0" r="9525"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76375"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004669D3" wp14:editId="28567961">
            <wp:extent cx="361950" cy="285750"/>
            <wp:effectExtent l="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w:t>
      </w:r>
      <w:r w:rsidRPr="00597AE7">
        <w:rPr>
          <w:rFonts w:ascii="Times New Roman" w:eastAsiaTheme="minorEastAsia" w:hAnsi="Times New Roman" w:cs="Times New Roman"/>
          <w:noProof/>
          <w:position w:val="-10"/>
          <w:sz w:val="24"/>
          <w:szCs w:val="24"/>
          <w:lang w:eastAsia="ru-RU"/>
        </w:rPr>
        <w:drawing>
          <wp:inline distT="0" distB="0" distL="0" distR="0" wp14:anchorId="187B3AC9" wp14:editId="4A8AE9E4">
            <wp:extent cx="457200" cy="285750"/>
            <wp:effectExtent l="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объем дотации (включая часть дотации, передаваемой в форме дополнительных нормативов отчислений от налога на доходы физических лиц) i-му муниципальному району (городскому округу), утвержденный соответственно на очередной финансовый год и первый год планового периода законом автономного округа о бюджете автономного округа.</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В предусмотренных Бюджетным кодексом Российской Федерации случаях снижения размера дотации на выравнивание бюджетной обеспеченности муниципальных районов (городских округов) общий объем дотации на очередной финансовый год, первый и второй годы планового периода муниципальному району (городскому округу) принимается равным соответствующему расчетному объему дотации.</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2.1. Расчетный объем дотации на выравнивание бюджетной обеспеченности муниципальных районов (городских округов) на очередной финансовый год и на первый и </w:t>
      </w:r>
      <w:r w:rsidRPr="00597AE7">
        <w:rPr>
          <w:rFonts w:ascii="Times New Roman" w:eastAsiaTheme="minorEastAsia" w:hAnsi="Times New Roman" w:cs="Times New Roman"/>
          <w:sz w:val="24"/>
          <w:szCs w:val="24"/>
          <w:lang w:eastAsia="ru-RU"/>
        </w:rPr>
        <w:lastRenderedPageBreak/>
        <w:t>второй годы планового периода i-му муниципальному району (городскому округу) (РД</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РД</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РД1</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РД2</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РД1</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расчетный объем первой части дотации на выравнивание бюджетной обеспеченности муниципальных районов (городских округов), предоставляемой i-му муниципальному району (городскому округу), уровень расчетной бюджетной обеспеченности которого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РД2</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расчетный объем второй части дотации на выравнивание бюджетной обеспеченности муниципальных районов (городских округов), предоставляемой i-му муниципальному району (городскому округу) исходя из численности населения муниципального района (городского округа) в расчете на одного жителя.</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3. Расчетный объем первой части дотации i-му муниципальному району (городскому округу) на очередной финансовый год (первый и второй годы планового периода) (РД1</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val="en-US" w:eastAsia="ru-RU"/>
        </w:rPr>
      </w:pPr>
      <w:r w:rsidRPr="00597AE7">
        <w:rPr>
          <w:rFonts w:ascii="Times New Roman" w:eastAsiaTheme="minorEastAsia" w:hAnsi="Times New Roman" w:cs="Times New Roman"/>
          <w:sz w:val="24"/>
          <w:szCs w:val="24"/>
          <w:lang w:eastAsia="ru-RU"/>
        </w:rPr>
        <w:t>РД</w:t>
      </w:r>
      <w:r w:rsidRPr="00597AE7">
        <w:rPr>
          <w:rFonts w:ascii="Times New Roman" w:eastAsiaTheme="minorEastAsia" w:hAnsi="Times New Roman" w:cs="Times New Roman"/>
          <w:sz w:val="24"/>
          <w:szCs w:val="24"/>
          <w:lang w:val="en-US" w:eastAsia="ru-RU"/>
        </w:rPr>
        <w:t>1</w:t>
      </w:r>
      <w:r w:rsidRPr="00597AE7">
        <w:rPr>
          <w:rFonts w:ascii="Times New Roman" w:eastAsiaTheme="minorEastAsia" w:hAnsi="Times New Roman" w:cs="Times New Roman"/>
          <w:sz w:val="24"/>
          <w:szCs w:val="24"/>
          <w:vertAlign w:val="subscript"/>
          <w:lang w:val="en-US" w:eastAsia="ru-RU"/>
        </w:rPr>
        <w:t>i</w:t>
      </w:r>
      <w:r w:rsidRPr="00597AE7">
        <w:rPr>
          <w:rFonts w:ascii="Times New Roman" w:eastAsiaTheme="minorEastAsia" w:hAnsi="Times New Roman" w:cs="Times New Roman"/>
          <w:sz w:val="24"/>
          <w:szCs w:val="24"/>
          <w:lang w:val="en-US" w:eastAsia="ru-RU"/>
        </w:rPr>
        <w:t xml:space="preserve"> = R x </w:t>
      </w:r>
      <w:r w:rsidRPr="00597AE7">
        <w:rPr>
          <w:rFonts w:ascii="Times New Roman" w:eastAsiaTheme="minorEastAsia" w:hAnsi="Times New Roman" w:cs="Times New Roman"/>
          <w:sz w:val="24"/>
          <w:szCs w:val="24"/>
          <w:lang w:eastAsia="ru-RU"/>
        </w:rPr>
        <w:t>Д</w:t>
      </w:r>
      <w:r w:rsidRPr="00597AE7">
        <w:rPr>
          <w:rFonts w:ascii="Times New Roman" w:eastAsiaTheme="minorEastAsia" w:hAnsi="Times New Roman" w:cs="Times New Roman"/>
          <w:sz w:val="24"/>
          <w:szCs w:val="24"/>
          <w:lang w:val="en-US" w:eastAsia="ru-RU"/>
        </w:rPr>
        <w:t xml:space="preserve">1 x </w:t>
      </w:r>
      <w:r w:rsidRPr="00597AE7">
        <w:rPr>
          <w:rFonts w:ascii="Times New Roman" w:eastAsiaTheme="minorEastAsia" w:hAnsi="Times New Roman" w:cs="Times New Roman"/>
          <w:sz w:val="24"/>
          <w:szCs w:val="24"/>
          <w:lang w:eastAsia="ru-RU"/>
        </w:rPr>
        <w:t>Т</w:t>
      </w:r>
      <w:r w:rsidRPr="00597AE7">
        <w:rPr>
          <w:rFonts w:ascii="Times New Roman" w:eastAsiaTheme="minorEastAsia" w:hAnsi="Times New Roman" w:cs="Times New Roman"/>
          <w:sz w:val="24"/>
          <w:szCs w:val="24"/>
          <w:vertAlign w:val="subscript"/>
          <w:lang w:val="en-US" w:eastAsia="ru-RU"/>
        </w:rPr>
        <w:t>i</w:t>
      </w:r>
      <w:r w:rsidRPr="00597AE7">
        <w:rPr>
          <w:rFonts w:ascii="Times New Roman" w:eastAsiaTheme="minorEastAsia" w:hAnsi="Times New Roman" w:cs="Times New Roman"/>
          <w:sz w:val="24"/>
          <w:szCs w:val="24"/>
          <w:lang w:val="en-US" w:eastAsia="ru-RU"/>
        </w:rPr>
        <w:t xml:space="preserve"> / SUM(</w:t>
      </w:r>
      <w:r w:rsidRPr="00597AE7">
        <w:rPr>
          <w:rFonts w:ascii="Times New Roman" w:eastAsiaTheme="minorEastAsia" w:hAnsi="Times New Roman" w:cs="Times New Roman"/>
          <w:sz w:val="24"/>
          <w:szCs w:val="24"/>
          <w:lang w:eastAsia="ru-RU"/>
        </w:rPr>
        <w:t>Т</w:t>
      </w:r>
      <w:r w:rsidRPr="00597AE7">
        <w:rPr>
          <w:rFonts w:ascii="Times New Roman" w:eastAsiaTheme="minorEastAsia" w:hAnsi="Times New Roman" w:cs="Times New Roman"/>
          <w:sz w:val="24"/>
          <w:szCs w:val="24"/>
          <w:vertAlign w:val="subscript"/>
          <w:lang w:val="en-US" w:eastAsia="ru-RU"/>
        </w:rPr>
        <w:t>i</w:t>
      </w:r>
      <w:r w:rsidRPr="00597AE7">
        <w:rPr>
          <w:rFonts w:ascii="Times New Roman" w:eastAsiaTheme="minorEastAsia" w:hAnsi="Times New Roman" w:cs="Times New Roman"/>
          <w:sz w:val="24"/>
          <w:szCs w:val="24"/>
          <w:lang w:val="en-US" w:eastAsia="ru-RU"/>
        </w:rPr>
        <w:t xml:space="preserve">), </w:t>
      </w:r>
      <w:r w:rsidRPr="00597AE7">
        <w:rPr>
          <w:rFonts w:ascii="Times New Roman" w:eastAsiaTheme="minorEastAsia" w:hAnsi="Times New Roman" w:cs="Times New Roman"/>
          <w:sz w:val="24"/>
          <w:szCs w:val="24"/>
          <w:lang w:eastAsia="ru-RU"/>
        </w:rPr>
        <w:t>где</w:t>
      </w:r>
      <w:r w:rsidRPr="00597AE7">
        <w:rPr>
          <w:rFonts w:ascii="Times New Roman" w:eastAsiaTheme="minorEastAsia" w:hAnsi="Times New Roman" w:cs="Times New Roman"/>
          <w:sz w:val="24"/>
          <w:szCs w:val="24"/>
          <w:lang w:val="en-US" w:eastAsia="ru-RU"/>
        </w:rPr>
        <w:t>:</w:t>
      </w:r>
    </w:p>
    <w:p w:rsidR="00597AE7" w:rsidRPr="00041B0D"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val="en-US"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R - распределяемая часть общего объема первой части дотаций на выравнивание бюджетной обеспеченности муниципальных районов (городских округов) на очередной финансовый год (первый или второй год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Т</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объем средств, необходимый для доведения расчетной бюджетной обеспеченности i-го муниципального района (городского округа) до уровня, установленного в качестве критерия выравнивания расчетной бюджетной обеспеченности муниципальных районов (городских округов);</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SUM - знак суммирования.</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4. Объем средств, необходимый для доведения расчетной бюджетной обеспеченности i-го муниципального района (городского округа) до уровня, установленного в качестве критерия выравнивания расчетной бюджетной обеспеченности муниципальных районов (городских округов) (Т</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Т</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(РНД / Н) x (БО</w:t>
      </w:r>
      <w:r w:rsidRPr="00597AE7">
        <w:rPr>
          <w:rFonts w:ascii="Times New Roman" w:eastAsiaTheme="minorEastAsia" w:hAnsi="Times New Roman" w:cs="Times New Roman"/>
          <w:sz w:val="24"/>
          <w:szCs w:val="24"/>
          <w:vertAlign w:val="superscript"/>
          <w:lang w:eastAsia="ru-RU"/>
        </w:rPr>
        <w:t>кр</w:t>
      </w:r>
      <w:r w:rsidRPr="00597AE7">
        <w:rPr>
          <w:rFonts w:ascii="Times New Roman" w:eastAsiaTheme="minorEastAsia" w:hAnsi="Times New Roman" w:cs="Times New Roman"/>
          <w:sz w:val="24"/>
          <w:szCs w:val="24"/>
          <w:lang w:eastAsia="ru-RU"/>
        </w:rPr>
        <w:t xml:space="preserve"> - БО</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 ИБР</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x 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РНД - принимаемый к расчету размер налоговых доходов бюджетов муниципальных районов (городских округов) на очередной финансовый год (первый или второй год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БО</w:t>
      </w:r>
      <w:r w:rsidRPr="00597AE7">
        <w:rPr>
          <w:rFonts w:ascii="Times New Roman" w:eastAsiaTheme="minorEastAsia" w:hAnsi="Times New Roman" w:cs="Times New Roman"/>
          <w:sz w:val="24"/>
          <w:szCs w:val="24"/>
          <w:vertAlign w:val="superscript"/>
          <w:lang w:eastAsia="ru-RU"/>
        </w:rPr>
        <w:t>кр</w:t>
      </w:r>
      <w:r w:rsidRPr="00597AE7">
        <w:rPr>
          <w:rFonts w:ascii="Times New Roman" w:eastAsiaTheme="minorEastAsia" w:hAnsi="Times New Roman" w:cs="Times New Roman"/>
          <w:sz w:val="24"/>
          <w:szCs w:val="24"/>
          <w:lang w:eastAsia="ru-RU"/>
        </w:rPr>
        <w:t xml:space="preserve"> - критерий выравнивания расчетной бюджетной обеспеченности муниципальных районов (городских округов) на очередной финансовый год (первый или второй год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БО</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уровень расчетной бюджетной обеспеченности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lastRenderedPageBreak/>
        <w:t>ИБР</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индекс бюджетных расходов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Если расчетное значение объема средств, необходимых для доведения расчетной бюджетной обеспеченности i-го муниципального района (городского округа) до уровня, установленного в качестве критерия выравнивания расчетной бюджетной обеспеченности муниципальных районов (городских округов), отрицательное, то оно принимается равным 0.</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4.1. Объем второй части дотации на выравнивание бюджетной обеспеченности муниципальных районов (городских округов) на очередной финансовый год и на плановый период i-му муниципальному району (городскому округу) (РД2</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рассчитывается исходя из численности жителей в расчете на одного жителя отдельно для городских округов и муниципальных районов по следующим формулам:</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 для городских округов:</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РД2</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Д2 x 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Н x (1 + (1 - К),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H</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населения i-го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H - численность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 - коэффициент, принимающий единые значения, удовлетворяющий условию 0 &lt;= К &lt;= 1;</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2) для муниципальных районов:</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РД2</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Д2 x 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Н x (1 - К),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H</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населения i-го муниципального района.</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outlineLvl w:val="1"/>
        <w:rPr>
          <w:rFonts w:ascii="Times New Roman" w:eastAsiaTheme="minorEastAsia" w:hAnsi="Times New Roman" w:cs="Times New Roman"/>
          <w:b/>
          <w:bCs/>
          <w:sz w:val="24"/>
          <w:szCs w:val="24"/>
          <w:lang w:eastAsia="ru-RU"/>
        </w:rPr>
      </w:pPr>
      <w:r w:rsidRPr="00597AE7">
        <w:rPr>
          <w:rFonts w:ascii="Times New Roman" w:eastAsiaTheme="minorEastAsia" w:hAnsi="Times New Roman" w:cs="Times New Roman"/>
          <w:b/>
          <w:bCs/>
          <w:sz w:val="24"/>
          <w:szCs w:val="24"/>
          <w:lang w:eastAsia="ru-RU"/>
        </w:rPr>
        <w:t>IV. Определение уровня расчетной бюджетной обеспеченности</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Уровень расчетной бюджетной обеспеченности i-го муниципального района (городского округа) (БО</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БО</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ИНП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ИБР</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ИНП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индекс налогового потенциала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ИБР</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индекс бюджетных расходов i-го муниципального района (городского округа).</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outlineLvl w:val="1"/>
        <w:rPr>
          <w:rFonts w:ascii="Times New Roman" w:eastAsiaTheme="minorEastAsia" w:hAnsi="Times New Roman" w:cs="Times New Roman"/>
          <w:b/>
          <w:bCs/>
          <w:sz w:val="24"/>
          <w:szCs w:val="24"/>
          <w:lang w:eastAsia="ru-RU"/>
        </w:rPr>
      </w:pPr>
      <w:r w:rsidRPr="00597AE7">
        <w:rPr>
          <w:rFonts w:ascii="Times New Roman" w:eastAsiaTheme="minorEastAsia" w:hAnsi="Times New Roman" w:cs="Times New Roman"/>
          <w:b/>
          <w:bCs/>
          <w:sz w:val="24"/>
          <w:szCs w:val="24"/>
          <w:lang w:eastAsia="ru-RU"/>
        </w:rPr>
        <w:t>V. Расчет индекса налогового потенциала</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 Индекс налогового потенциала i-го муниципального района (городского округа) (ИНП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ИНП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(НП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 (НП / Н),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налоговый потенциал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lastRenderedPageBreak/>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НП - суммарный налоговый потенциал всех муниципальных районов (городских округов);</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2. Расчет налогового потенциала муниципального района (городского округа) производится по репрезентативной системе налогов в разрезе отдельных видов налогов исходя из показателей уровня экономического развития муниципального района (городского округа), прогноза поступлений данного налога с территорий всех муниципальных районов (городских округов) в консолидированный бюджет Ханты-Мансийского автономного округа - Югры, а также норматива отчислений от данного налога в бюджеты муниципальных районов.</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3. Репрезентативная система налогов включает в себя отдельные налоги, зачисляемые в бюджеты муниципальных районов (городских округов), и отражает доходные возможности, которые учитываются при распределении финансовых средств в рамках межбюджетного регулирования. Налоговые доходы, не входящие в репрезентативную систему, а также неналоговые доходы не учитываются при определении уровня расчетной бюджетной обеспеченности муниципальных районов (городских округов).</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4. Состав репрезентативной системы налогов, перечень показателей, характеризующих налоговый потенциал муниципальных районов (городских округов) по видам налогов, а также источники информации представлены в таблице 1.</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bookmarkStart w:id="1" w:name="Par728"/>
      <w:bookmarkEnd w:id="1"/>
      <w:r w:rsidRPr="00597AE7">
        <w:rPr>
          <w:rFonts w:ascii="Times New Roman" w:eastAsiaTheme="minorEastAsia" w:hAnsi="Times New Roman" w:cs="Times New Roman"/>
          <w:sz w:val="24"/>
          <w:szCs w:val="24"/>
          <w:lang w:eastAsia="ru-RU"/>
        </w:rPr>
        <w:t>Таблица 1</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948"/>
        <w:gridCol w:w="3402"/>
      </w:tblGrid>
      <w:tr w:rsidR="00597AE7" w:rsidRPr="00597AE7" w:rsidTr="00597AE7">
        <w:tc>
          <w:tcPr>
            <w:tcW w:w="2721" w:type="dxa"/>
            <w:vAlign w:val="center"/>
          </w:tcPr>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Вид налога</w:t>
            </w:r>
          </w:p>
        </w:tc>
        <w:tc>
          <w:tcPr>
            <w:tcW w:w="2948" w:type="dxa"/>
            <w:vAlign w:val="center"/>
          </w:tcPr>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Показатель, характеризующий налоговый потенциал муниципального района (городского округа)</w:t>
            </w:r>
          </w:p>
        </w:tc>
        <w:tc>
          <w:tcPr>
            <w:tcW w:w="3402" w:type="dxa"/>
            <w:vAlign w:val="center"/>
          </w:tcPr>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Источник информации</w:t>
            </w:r>
          </w:p>
        </w:tc>
      </w:tr>
      <w:tr w:rsidR="00597AE7" w:rsidRPr="00597AE7" w:rsidTr="00597AE7">
        <w:tc>
          <w:tcPr>
            <w:tcW w:w="2721" w:type="dxa"/>
            <w:vAlign w:val="center"/>
          </w:tcPr>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w:t>
            </w:r>
          </w:p>
        </w:tc>
        <w:tc>
          <w:tcPr>
            <w:tcW w:w="2948" w:type="dxa"/>
            <w:vAlign w:val="center"/>
          </w:tcPr>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2</w:t>
            </w:r>
          </w:p>
        </w:tc>
        <w:tc>
          <w:tcPr>
            <w:tcW w:w="3402" w:type="dxa"/>
            <w:vAlign w:val="center"/>
          </w:tcPr>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3</w:t>
            </w:r>
          </w:p>
        </w:tc>
      </w:tr>
      <w:tr w:rsidR="00597AE7" w:rsidRPr="00597AE7" w:rsidTr="00597AE7">
        <w:tc>
          <w:tcPr>
            <w:tcW w:w="2721"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Налог на доходы физических лиц</w:t>
            </w:r>
          </w:p>
        </w:tc>
        <w:tc>
          <w:tcPr>
            <w:tcW w:w="2948"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общая сумма исчисленного налога</w:t>
            </w:r>
          </w:p>
        </w:tc>
        <w:tc>
          <w:tcPr>
            <w:tcW w:w="3402"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Управление Федеральной налоговой службы по Ханты-Мансийскому автономному округу - Югре (форма 5-НДФЛ)</w:t>
            </w:r>
          </w:p>
        </w:tc>
      </w:tr>
      <w:tr w:rsidR="00597AE7" w:rsidRPr="00597AE7" w:rsidTr="00597AE7">
        <w:tc>
          <w:tcPr>
            <w:tcW w:w="2721"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Акцизы по подакцизным товарам (продукции), производимым на территории Российской Федерации</w:t>
            </w:r>
          </w:p>
        </w:tc>
        <w:tc>
          <w:tcPr>
            <w:tcW w:w="2948"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протяженность автомобильных дорог общего пользования местного значения муниципальных образований</w:t>
            </w:r>
          </w:p>
        </w:tc>
        <w:tc>
          <w:tcPr>
            <w:tcW w:w="3402"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Территориальный орган Федеральной службы государственной статистики по Ханты-Мансийскому автономному округу - Югре (форма статистического наблюдения 3-ДГ (МО))</w:t>
            </w:r>
          </w:p>
        </w:tc>
      </w:tr>
      <w:tr w:rsidR="00597AE7" w:rsidRPr="00597AE7" w:rsidTr="00597AE7">
        <w:tc>
          <w:tcPr>
            <w:tcW w:w="2721"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Налог, взимаемый в связи с применением упрощенной системы </w:t>
            </w:r>
            <w:r w:rsidRPr="00597AE7">
              <w:rPr>
                <w:rFonts w:ascii="Times New Roman" w:eastAsiaTheme="minorEastAsia" w:hAnsi="Times New Roman" w:cs="Times New Roman"/>
                <w:sz w:val="24"/>
                <w:szCs w:val="24"/>
                <w:lang w:eastAsia="ru-RU"/>
              </w:rPr>
              <w:lastRenderedPageBreak/>
              <w:t>налогообложения</w:t>
            </w:r>
          </w:p>
        </w:tc>
        <w:tc>
          <w:tcPr>
            <w:tcW w:w="2948"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lastRenderedPageBreak/>
              <w:t>сумма налога, подлежащая уплате за налоговый период</w:t>
            </w:r>
          </w:p>
        </w:tc>
        <w:tc>
          <w:tcPr>
            <w:tcW w:w="3402"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Управление Федеральной налоговой службы по Ханты-Мансийскому автономному </w:t>
            </w:r>
            <w:r w:rsidRPr="00597AE7">
              <w:rPr>
                <w:rFonts w:ascii="Times New Roman" w:eastAsiaTheme="minorEastAsia" w:hAnsi="Times New Roman" w:cs="Times New Roman"/>
                <w:sz w:val="24"/>
                <w:szCs w:val="24"/>
                <w:lang w:eastAsia="ru-RU"/>
              </w:rPr>
              <w:lastRenderedPageBreak/>
              <w:t>округу - Югре (форма 5-УСН)</w:t>
            </w:r>
          </w:p>
        </w:tc>
      </w:tr>
      <w:tr w:rsidR="00597AE7" w:rsidRPr="00597AE7" w:rsidTr="00597AE7">
        <w:tc>
          <w:tcPr>
            <w:tcW w:w="2721"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lastRenderedPageBreak/>
              <w:t>Налог, взимаемый в связи с применением патентной системы налогообложения</w:t>
            </w:r>
          </w:p>
        </w:tc>
        <w:tc>
          <w:tcPr>
            <w:tcW w:w="2948"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размер потенциально возможного к получению индивидуальным предпринимателем годового дохода, исчисленного исходя из срока, на который выдан патент</w:t>
            </w:r>
          </w:p>
        </w:tc>
        <w:tc>
          <w:tcPr>
            <w:tcW w:w="3402" w:type="dxa"/>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Управление Федеральной налоговой службы по Ханты-Мансийскому автономному округу - Югре (форма 1 - ПАТЕНТ)</w:t>
            </w:r>
          </w:p>
        </w:tc>
      </w:tr>
    </w:tbl>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5. Налоговый потенциал i-го муниципального района (городского округа) (НП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SUM НП</w:t>
      </w:r>
      <w:r w:rsidRPr="00597AE7">
        <w:rPr>
          <w:rFonts w:ascii="Times New Roman" w:eastAsiaTheme="minorEastAsia" w:hAnsi="Times New Roman" w:cs="Times New Roman"/>
          <w:sz w:val="24"/>
          <w:szCs w:val="24"/>
          <w:vertAlign w:val="subscript"/>
          <w:lang w:eastAsia="ru-RU"/>
        </w:rPr>
        <w:t>ij</w:t>
      </w:r>
      <w:r w:rsidRPr="00597AE7">
        <w:rPr>
          <w:rFonts w:ascii="Times New Roman" w:eastAsiaTheme="minorEastAsia" w:hAnsi="Times New Roman" w:cs="Times New Roman"/>
          <w:sz w:val="24"/>
          <w:szCs w:val="24"/>
          <w:lang w:eastAsia="ru-RU"/>
        </w:rPr>
        <w:t>,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НП</w:t>
      </w:r>
      <w:r w:rsidRPr="00597AE7">
        <w:rPr>
          <w:rFonts w:ascii="Times New Roman" w:eastAsiaTheme="minorEastAsia" w:hAnsi="Times New Roman" w:cs="Times New Roman"/>
          <w:sz w:val="24"/>
          <w:szCs w:val="24"/>
          <w:vertAlign w:val="subscript"/>
          <w:lang w:eastAsia="ru-RU"/>
        </w:rPr>
        <w:t>ij</w:t>
      </w:r>
      <w:r w:rsidRPr="00597AE7">
        <w:rPr>
          <w:rFonts w:ascii="Times New Roman" w:eastAsiaTheme="minorEastAsia" w:hAnsi="Times New Roman" w:cs="Times New Roman"/>
          <w:sz w:val="24"/>
          <w:szCs w:val="24"/>
          <w:lang w:eastAsia="ru-RU"/>
        </w:rPr>
        <w:t xml:space="preserve"> - налоговый потенциал i-го муниципального района (городского округа) по j-му налогу (суммирование производится по всем налогам, входящим в состав репрезентативной системы налогов).</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6. Налоговый потенциал i-го муниципального района (городского округа) по j-му налогу (НП</w:t>
      </w:r>
      <w:r w:rsidRPr="00597AE7">
        <w:rPr>
          <w:rFonts w:ascii="Times New Roman" w:eastAsiaTheme="minorEastAsia" w:hAnsi="Times New Roman" w:cs="Times New Roman"/>
          <w:sz w:val="24"/>
          <w:szCs w:val="24"/>
          <w:vertAlign w:val="subscript"/>
          <w:lang w:eastAsia="ru-RU"/>
        </w:rPr>
        <w:t>ij</w:t>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НП</w:t>
      </w:r>
      <w:r w:rsidRPr="00597AE7">
        <w:rPr>
          <w:rFonts w:ascii="Times New Roman" w:eastAsiaTheme="minorEastAsia" w:hAnsi="Times New Roman" w:cs="Times New Roman"/>
          <w:sz w:val="24"/>
          <w:szCs w:val="24"/>
          <w:vertAlign w:val="subscript"/>
          <w:lang w:eastAsia="ru-RU"/>
        </w:rPr>
        <w:t>ij</w:t>
      </w:r>
      <w:r w:rsidRPr="00597AE7">
        <w:rPr>
          <w:rFonts w:ascii="Times New Roman" w:eastAsiaTheme="minorEastAsia" w:hAnsi="Times New Roman" w:cs="Times New Roman"/>
          <w:sz w:val="24"/>
          <w:szCs w:val="24"/>
          <w:lang w:eastAsia="ru-RU"/>
        </w:rPr>
        <w:t xml:space="preserve"> = ПД</w:t>
      </w:r>
      <w:r w:rsidRPr="00597AE7">
        <w:rPr>
          <w:rFonts w:ascii="Times New Roman" w:eastAsiaTheme="minorEastAsia" w:hAnsi="Times New Roman" w:cs="Times New Roman"/>
          <w:sz w:val="24"/>
          <w:szCs w:val="24"/>
          <w:vertAlign w:val="subscript"/>
          <w:lang w:eastAsia="ru-RU"/>
        </w:rPr>
        <w:t>j</w:t>
      </w:r>
      <w:r w:rsidRPr="00597AE7">
        <w:rPr>
          <w:rFonts w:ascii="Times New Roman" w:eastAsiaTheme="minorEastAsia" w:hAnsi="Times New Roman" w:cs="Times New Roman"/>
          <w:sz w:val="24"/>
          <w:szCs w:val="24"/>
          <w:lang w:eastAsia="ru-RU"/>
        </w:rPr>
        <w:t xml:space="preserve"> x Норм</w:t>
      </w:r>
      <w:r w:rsidRPr="00597AE7">
        <w:rPr>
          <w:rFonts w:ascii="Times New Roman" w:eastAsiaTheme="minorEastAsia" w:hAnsi="Times New Roman" w:cs="Times New Roman"/>
          <w:sz w:val="24"/>
          <w:szCs w:val="24"/>
          <w:vertAlign w:val="subscript"/>
          <w:lang w:eastAsia="ru-RU"/>
        </w:rPr>
        <w:t>j</w:t>
      </w:r>
      <w:r w:rsidRPr="00597AE7">
        <w:rPr>
          <w:rFonts w:ascii="Times New Roman" w:eastAsiaTheme="minorEastAsia" w:hAnsi="Times New Roman" w:cs="Times New Roman"/>
          <w:sz w:val="24"/>
          <w:szCs w:val="24"/>
          <w:lang w:eastAsia="ru-RU"/>
        </w:rPr>
        <w:t xml:space="preserve"> x (БН</w:t>
      </w:r>
      <w:r w:rsidRPr="00597AE7">
        <w:rPr>
          <w:rFonts w:ascii="Times New Roman" w:eastAsiaTheme="minorEastAsia" w:hAnsi="Times New Roman" w:cs="Times New Roman"/>
          <w:sz w:val="24"/>
          <w:szCs w:val="24"/>
          <w:vertAlign w:val="subscript"/>
          <w:lang w:eastAsia="ru-RU"/>
        </w:rPr>
        <w:t>ij</w:t>
      </w:r>
      <w:r w:rsidRPr="00597AE7">
        <w:rPr>
          <w:rFonts w:ascii="Times New Roman" w:eastAsiaTheme="minorEastAsia" w:hAnsi="Times New Roman" w:cs="Times New Roman"/>
          <w:sz w:val="24"/>
          <w:szCs w:val="24"/>
          <w:lang w:eastAsia="ru-RU"/>
        </w:rPr>
        <w:t xml:space="preserve"> / БН</w:t>
      </w:r>
      <w:r w:rsidRPr="00597AE7">
        <w:rPr>
          <w:rFonts w:ascii="Times New Roman" w:eastAsiaTheme="minorEastAsia" w:hAnsi="Times New Roman" w:cs="Times New Roman"/>
          <w:sz w:val="24"/>
          <w:szCs w:val="24"/>
          <w:vertAlign w:val="subscript"/>
          <w:lang w:eastAsia="ru-RU"/>
        </w:rPr>
        <w:t>j</w:t>
      </w:r>
      <w:r w:rsidRPr="00597AE7">
        <w:rPr>
          <w:rFonts w:ascii="Times New Roman" w:eastAsiaTheme="minorEastAsia" w:hAnsi="Times New Roman" w:cs="Times New Roman"/>
          <w:sz w:val="24"/>
          <w:szCs w:val="24"/>
          <w:lang w:eastAsia="ru-RU"/>
        </w:rPr>
        <w:t>),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ПД</w:t>
      </w:r>
      <w:r w:rsidRPr="00597AE7">
        <w:rPr>
          <w:rFonts w:ascii="Times New Roman" w:eastAsiaTheme="minorEastAsia" w:hAnsi="Times New Roman" w:cs="Times New Roman"/>
          <w:sz w:val="24"/>
          <w:szCs w:val="24"/>
          <w:vertAlign w:val="subscript"/>
          <w:lang w:eastAsia="ru-RU"/>
        </w:rPr>
        <w:t>j</w:t>
      </w:r>
      <w:r w:rsidRPr="00597AE7">
        <w:rPr>
          <w:rFonts w:ascii="Times New Roman" w:eastAsiaTheme="minorEastAsia" w:hAnsi="Times New Roman" w:cs="Times New Roman"/>
          <w:sz w:val="24"/>
          <w:szCs w:val="24"/>
          <w:lang w:eastAsia="ru-RU"/>
        </w:rPr>
        <w:t xml:space="preserve"> - прогноз поступлений j-го налога на очередной финансовый год (первый или второй год планового периода) с территорий всех муниципальных районов (городских округов) в консолидированный бюджет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Норм</w:t>
      </w:r>
      <w:r w:rsidRPr="00597AE7">
        <w:rPr>
          <w:rFonts w:ascii="Times New Roman" w:eastAsiaTheme="minorEastAsia" w:hAnsi="Times New Roman" w:cs="Times New Roman"/>
          <w:sz w:val="24"/>
          <w:szCs w:val="24"/>
          <w:vertAlign w:val="subscript"/>
          <w:lang w:eastAsia="ru-RU"/>
        </w:rPr>
        <w:t>j</w:t>
      </w:r>
      <w:r w:rsidRPr="00597AE7">
        <w:rPr>
          <w:rFonts w:ascii="Times New Roman" w:eastAsiaTheme="minorEastAsia" w:hAnsi="Times New Roman" w:cs="Times New Roman"/>
          <w:sz w:val="24"/>
          <w:szCs w:val="24"/>
          <w:lang w:eastAsia="ru-RU"/>
        </w:rPr>
        <w:t xml:space="preserve"> - единый норматив отчислений в бюджеты муниципальных районов (городских округов) от j-го налога в соответствии с требованиями Бюджетного кодекса Российской Федерации и статьи 3 настоящего Закона;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БН</w:t>
      </w:r>
      <w:r w:rsidRPr="00597AE7">
        <w:rPr>
          <w:rFonts w:ascii="Times New Roman" w:eastAsiaTheme="minorEastAsia" w:hAnsi="Times New Roman" w:cs="Times New Roman"/>
          <w:sz w:val="24"/>
          <w:szCs w:val="24"/>
          <w:vertAlign w:val="subscript"/>
          <w:lang w:eastAsia="ru-RU"/>
        </w:rPr>
        <w:t>ij</w:t>
      </w:r>
      <w:r w:rsidRPr="00597AE7">
        <w:rPr>
          <w:rFonts w:ascii="Times New Roman" w:eastAsiaTheme="minorEastAsia" w:hAnsi="Times New Roman" w:cs="Times New Roman"/>
          <w:sz w:val="24"/>
          <w:szCs w:val="24"/>
          <w:lang w:eastAsia="ru-RU"/>
        </w:rPr>
        <w:t xml:space="preserve"> - показатель, характеризующий налоговый потенциал i-го муниципального района (городского округа) по j-му налогу за отчетный период;</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БН</w:t>
      </w:r>
      <w:r w:rsidRPr="00597AE7">
        <w:rPr>
          <w:rFonts w:ascii="Times New Roman" w:eastAsiaTheme="minorEastAsia" w:hAnsi="Times New Roman" w:cs="Times New Roman"/>
          <w:sz w:val="24"/>
          <w:szCs w:val="24"/>
          <w:vertAlign w:val="subscript"/>
          <w:lang w:eastAsia="ru-RU"/>
        </w:rPr>
        <w:t>j</w:t>
      </w:r>
      <w:r w:rsidRPr="00597AE7">
        <w:rPr>
          <w:rFonts w:ascii="Times New Roman" w:eastAsiaTheme="minorEastAsia" w:hAnsi="Times New Roman" w:cs="Times New Roman"/>
          <w:sz w:val="24"/>
          <w:szCs w:val="24"/>
          <w:lang w:eastAsia="ru-RU"/>
        </w:rPr>
        <w:t xml:space="preserve"> - показатель, характеризующий налоговый потенциал автономного округа по j-му налогу за отчетный период.</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Если показатель, характеризующий налоговый потенциал i-го муниципального района (городского округа) по какому-либо j-му налогу, имеет отрицательное значение, в расчетах налогового потенциала оно принимается равным нулю.</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7. Рассчитанные оценки налогового потенциала используются только для определения индекса налогового потенциала, сопоставления уровня расчетной бюджетной обеспеченности муниципальных районов (городских округов) в целях межбюджетного регулирования и не являются планируемыми или рекомендуемыми показателями доходов бюджетов муниципальных районов (городских округов).</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outlineLvl w:val="1"/>
        <w:rPr>
          <w:rFonts w:ascii="Times New Roman" w:eastAsiaTheme="minorEastAsia" w:hAnsi="Times New Roman" w:cs="Times New Roman"/>
          <w:b/>
          <w:bCs/>
          <w:sz w:val="24"/>
          <w:szCs w:val="24"/>
          <w:lang w:eastAsia="ru-RU"/>
        </w:rPr>
      </w:pPr>
      <w:r w:rsidRPr="00597AE7">
        <w:rPr>
          <w:rFonts w:ascii="Times New Roman" w:eastAsiaTheme="minorEastAsia" w:hAnsi="Times New Roman" w:cs="Times New Roman"/>
          <w:b/>
          <w:bCs/>
          <w:sz w:val="24"/>
          <w:szCs w:val="24"/>
          <w:lang w:eastAsia="ru-RU"/>
        </w:rPr>
        <w:t>VI. Расчет индекса бюджетных расходов</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 Индекс бюджетных расходов i-го муниципального района (городского округа) (ИБР</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w:t>
      </w:r>
      <w:r w:rsidRPr="00597AE7">
        <w:rPr>
          <w:rFonts w:ascii="Times New Roman" w:eastAsiaTheme="minorEastAsia" w:hAnsi="Times New Roman" w:cs="Times New Roman"/>
          <w:sz w:val="24"/>
          <w:szCs w:val="24"/>
          <w:lang w:eastAsia="ru-RU"/>
        </w:rPr>
        <w:lastRenderedPageBreak/>
        <w:t>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4E3BA47F" wp14:editId="61227FB7">
            <wp:extent cx="4286250" cy="285750"/>
            <wp:effectExtent l="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038A78AF" wp14:editId="724485F2">
            <wp:extent cx="514350" cy="285750"/>
            <wp:effectExtent l="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стоимости предоставления муниципальных услуг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49D393D8" wp14:editId="54DB93EB">
            <wp:extent cx="400050" cy="285750"/>
            <wp:effectExtent l="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структуры потребителей муниципальных услуг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2. Коэффициент стоимости предоставления муниципальных услуг в i-м муниципальном районе (городском округе) (</w:t>
      </w:r>
      <w:r w:rsidRPr="00597AE7">
        <w:rPr>
          <w:rFonts w:ascii="Times New Roman" w:eastAsiaTheme="minorEastAsia" w:hAnsi="Times New Roman" w:cs="Times New Roman"/>
          <w:noProof/>
          <w:position w:val="-10"/>
          <w:sz w:val="24"/>
          <w:szCs w:val="24"/>
          <w:lang w:eastAsia="ru-RU"/>
        </w:rPr>
        <w:drawing>
          <wp:inline distT="0" distB="0" distL="0" distR="0" wp14:anchorId="06C67F08" wp14:editId="08041586">
            <wp:extent cx="514350" cy="285750"/>
            <wp:effectExtent l="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vertAlign w:val="superscript"/>
          <w:lang w:eastAsia="ru-RU"/>
        </w:rPr>
        <w:t>стоим</w:t>
      </w:r>
      <w:r w:rsidRPr="00597AE7">
        <w:rPr>
          <w:rFonts w:ascii="Times New Roman" w:eastAsiaTheme="minorEastAsia" w:hAnsi="Times New Roman" w:cs="Times New Roman"/>
          <w:sz w:val="24"/>
          <w:szCs w:val="24"/>
          <w:lang w:eastAsia="ru-RU"/>
        </w:rPr>
        <w:t xml:space="preserve"> = q</w:t>
      </w:r>
      <w:r w:rsidRPr="00597AE7">
        <w:rPr>
          <w:rFonts w:ascii="Times New Roman" w:eastAsiaTheme="minorEastAsia" w:hAnsi="Times New Roman" w:cs="Times New Roman"/>
          <w:sz w:val="24"/>
          <w:szCs w:val="24"/>
          <w:vertAlign w:val="superscript"/>
          <w:lang w:eastAsia="ru-RU"/>
        </w:rPr>
        <w:t>1</w:t>
      </w:r>
      <w:r w:rsidRPr="00597AE7">
        <w:rPr>
          <w:rFonts w:ascii="Times New Roman" w:eastAsiaTheme="minorEastAsia" w:hAnsi="Times New Roman" w:cs="Times New Roman"/>
          <w:sz w:val="24"/>
          <w:szCs w:val="24"/>
          <w:lang w:eastAsia="ru-RU"/>
        </w:rPr>
        <w:t xml:space="preserve"> x К</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vertAlign w:val="superscript"/>
          <w:lang w:eastAsia="ru-RU"/>
        </w:rPr>
        <w:t>зп</w:t>
      </w:r>
      <w:r w:rsidRPr="00597AE7">
        <w:rPr>
          <w:rFonts w:ascii="Times New Roman" w:eastAsiaTheme="minorEastAsia" w:hAnsi="Times New Roman" w:cs="Times New Roman"/>
          <w:sz w:val="24"/>
          <w:szCs w:val="24"/>
          <w:lang w:eastAsia="ru-RU"/>
        </w:rPr>
        <w:t xml:space="preserve"> + (q</w:t>
      </w:r>
      <w:r w:rsidRPr="00597AE7">
        <w:rPr>
          <w:rFonts w:ascii="Times New Roman" w:eastAsiaTheme="minorEastAsia" w:hAnsi="Times New Roman" w:cs="Times New Roman"/>
          <w:sz w:val="24"/>
          <w:szCs w:val="24"/>
          <w:vertAlign w:val="superscript"/>
          <w:lang w:eastAsia="ru-RU"/>
        </w:rPr>
        <w:t>2</w:t>
      </w:r>
      <w:r w:rsidRPr="00597AE7">
        <w:rPr>
          <w:rFonts w:ascii="Times New Roman" w:eastAsiaTheme="minorEastAsia" w:hAnsi="Times New Roman" w:cs="Times New Roman"/>
          <w:sz w:val="24"/>
          <w:szCs w:val="24"/>
          <w:lang w:eastAsia="ru-RU"/>
        </w:rPr>
        <w:t xml:space="preserve"> x К</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vertAlign w:val="superscript"/>
          <w:lang w:eastAsia="ru-RU"/>
        </w:rPr>
        <w:t>ц</w:t>
      </w:r>
      <w:r w:rsidRPr="00597AE7">
        <w:rPr>
          <w:rFonts w:ascii="Times New Roman" w:eastAsiaTheme="minorEastAsia" w:hAnsi="Times New Roman" w:cs="Times New Roman"/>
          <w:sz w:val="24"/>
          <w:szCs w:val="24"/>
          <w:lang w:eastAsia="ru-RU"/>
        </w:rPr>
        <w:t xml:space="preserve"> + q</w:t>
      </w:r>
      <w:r w:rsidRPr="00597AE7">
        <w:rPr>
          <w:rFonts w:ascii="Times New Roman" w:eastAsiaTheme="minorEastAsia" w:hAnsi="Times New Roman" w:cs="Times New Roman"/>
          <w:sz w:val="24"/>
          <w:szCs w:val="24"/>
          <w:vertAlign w:val="superscript"/>
          <w:lang w:eastAsia="ru-RU"/>
        </w:rPr>
        <w:t>3</w:t>
      </w:r>
      <w:r w:rsidRPr="00597AE7">
        <w:rPr>
          <w:rFonts w:ascii="Times New Roman" w:eastAsiaTheme="minorEastAsia" w:hAnsi="Times New Roman" w:cs="Times New Roman"/>
          <w:sz w:val="24"/>
          <w:szCs w:val="24"/>
          <w:lang w:eastAsia="ru-RU"/>
        </w:rPr>
        <w:t xml:space="preserve"> x К</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vertAlign w:val="superscript"/>
          <w:lang w:eastAsia="ru-RU"/>
        </w:rPr>
        <w:t>ку</w:t>
      </w:r>
      <w:r w:rsidRPr="00597AE7">
        <w:rPr>
          <w:rFonts w:ascii="Times New Roman" w:eastAsiaTheme="minorEastAsia" w:hAnsi="Times New Roman" w:cs="Times New Roman"/>
          <w:sz w:val="24"/>
          <w:szCs w:val="24"/>
          <w:lang w:eastAsia="ru-RU"/>
        </w:rPr>
        <w:t>) x К</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vertAlign w:val="superscript"/>
          <w:lang w:eastAsia="ru-RU"/>
        </w:rPr>
        <w:t>тд</w:t>
      </w:r>
      <w:r w:rsidRPr="00597AE7">
        <w:rPr>
          <w:rFonts w:ascii="Times New Roman" w:eastAsiaTheme="minorEastAsia" w:hAnsi="Times New Roman" w:cs="Times New Roman"/>
          <w:sz w:val="24"/>
          <w:szCs w:val="24"/>
          <w:lang w:eastAsia="ru-RU"/>
        </w:rPr>
        <w:t>,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q</w:t>
      </w:r>
      <w:r w:rsidRPr="00597AE7">
        <w:rPr>
          <w:rFonts w:ascii="Times New Roman" w:eastAsiaTheme="minorEastAsia" w:hAnsi="Times New Roman" w:cs="Times New Roman"/>
          <w:sz w:val="24"/>
          <w:szCs w:val="24"/>
          <w:vertAlign w:val="superscript"/>
          <w:lang w:eastAsia="ru-RU"/>
        </w:rPr>
        <w:t>1</w:t>
      </w:r>
      <w:r w:rsidRPr="00597AE7">
        <w:rPr>
          <w:rFonts w:ascii="Times New Roman" w:eastAsiaTheme="minorEastAsia" w:hAnsi="Times New Roman" w:cs="Times New Roman"/>
          <w:sz w:val="24"/>
          <w:szCs w:val="24"/>
          <w:lang w:eastAsia="ru-RU"/>
        </w:rPr>
        <w:t xml:space="preserve"> - расчетный удельный вес расходов на заработную плату и начисления на выплаты по оплате труда (включая расходы на заработную плату и начисления на выплаты по оплате труда, осуществляемые за счет субсидий, предоставляемых муниципальным бюджетным и автономным учреждениям) в среднем по бюджетам всех муниципальных районов (городских округов), влияющий на коэффициент заработной платы;</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1FBA7153" wp14:editId="4E9A471B">
            <wp:extent cx="323850" cy="285750"/>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заработной платы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q</w:t>
      </w:r>
      <w:r w:rsidRPr="00597AE7">
        <w:rPr>
          <w:rFonts w:ascii="Times New Roman" w:eastAsiaTheme="minorEastAsia" w:hAnsi="Times New Roman" w:cs="Times New Roman"/>
          <w:sz w:val="24"/>
          <w:szCs w:val="24"/>
          <w:vertAlign w:val="superscript"/>
          <w:lang w:eastAsia="ru-RU"/>
        </w:rPr>
        <w:t>2</w:t>
      </w:r>
      <w:r w:rsidRPr="00597AE7">
        <w:rPr>
          <w:rFonts w:ascii="Times New Roman" w:eastAsiaTheme="minorEastAsia" w:hAnsi="Times New Roman" w:cs="Times New Roman"/>
          <w:sz w:val="24"/>
          <w:szCs w:val="24"/>
          <w:lang w:eastAsia="ru-RU"/>
        </w:rPr>
        <w:t xml:space="preserve"> - расчетный удельный вес других расходов в среднем по бюджетам всех муниципальных районов (городских округов), влияющий на коэффициент уровня цен;</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vertAlign w:val="superscript"/>
          <w:lang w:eastAsia="ru-RU"/>
        </w:rPr>
        <w:t>ц</w:t>
      </w:r>
      <w:r w:rsidRPr="00597AE7">
        <w:rPr>
          <w:rFonts w:ascii="Times New Roman" w:eastAsiaTheme="minorEastAsia" w:hAnsi="Times New Roman" w:cs="Times New Roman"/>
          <w:sz w:val="24"/>
          <w:szCs w:val="24"/>
          <w:lang w:eastAsia="ru-RU"/>
        </w:rPr>
        <w:t xml:space="preserve"> - коэффициент уровня цен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q</w:t>
      </w:r>
      <w:r w:rsidRPr="00597AE7">
        <w:rPr>
          <w:rFonts w:ascii="Times New Roman" w:eastAsiaTheme="minorEastAsia" w:hAnsi="Times New Roman" w:cs="Times New Roman"/>
          <w:sz w:val="24"/>
          <w:szCs w:val="24"/>
          <w:vertAlign w:val="superscript"/>
          <w:lang w:eastAsia="ru-RU"/>
        </w:rPr>
        <w:t>3</w:t>
      </w:r>
      <w:r w:rsidRPr="00597AE7">
        <w:rPr>
          <w:rFonts w:ascii="Times New Roman" w:eastAsiaTheme="minorEastAsia" w:hAnsi="Times New Roman" w:cs="Times New Roman"/>
          <w:sz w:val="24"/>
          <w:szCs w:val="24"/>
          <w:lang w:eastAsia="ru-RU"/>
        </w:rPr>
        <w:t xml:space="preserve"> - расчетный удельный вес расходов на приобретение коммунальных услуг (включая расходы на приобретение коммунальных услуг муниципальными бюджетными и автономными учреждениями) в среднем по бюджетам всех муниципальных районов (городских округов), влияющий на коэффициент стоимости предоставления коммунальных услуг;</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0FA6BB5E" wp14:editId="0A6EAF7D">
            <wp:extent cx="323850" cy="285750"/>
            <wp:effectExtent l="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стоимости предоставления коммунальных услуг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534EF393" wp14:editId="16E32BD7">
            <wp:extent cx="361950" cy="285750"/>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транспортной доступности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Каждый расчетный удельный вес из вышеуказанных соответствует следующему условию:</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23"/>
          <w:sz w:val="24"/>
          <w:szCs w:val="24"/>
          <w:lang w:eastAsia="ru-RU"/>
        </w:rPr>
        <w:drawing>
          <wp:inline distT="0" distB="0" distL="0" distR="0" wp14:anchorId="24159DFD" wp14:editId="6C5AC64E">
            <wp:extent cx="1504950" cy="447675"/>
            <wp:effectExtent l="0" t="0" r="0" b="9525"/>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04950" cy="447675"/>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3. Коэффициент заработной платы в i-м муниципальном районе (городском округе) (</w:t>
      </w:r>
      <w:r w:rsidRPr="00597AE7">
        <w:rPr>
          <w:rFonts w:ascii="Times New Roman" w:eastAsiaTheme="minorEastAsia" w:hAnsi="Times New Roman" w:cs="Times New Roman"/>
          <w:noProof/>
          <w:position w:val="-10"/>
          <w:sz w:val="24"/>
          <w:szCs w:val="24"/>
          <w:lang w:eastAsia="ru-RU"/>
        </w:rPr>
        <w:drawing>
          <wp:inline distT="0" distB="0" distL="0" distR="0" wp14:anchorId="71767E8B" wp14:editId="69E17D06">
            <wp:extent cx="323850" cy="285750"/>
            <wp:effectExtent l="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0A8649FE" wp14:editId="5CD13D95">
            <wp:extent cx="3619500" cy="285750"/>
            <wp:effectExtent l="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0,25 - повышающий коэффициент к окладам и тарифным ставкам специалистов бюджетной сферы, работающих на селе;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УВСН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удельный вес сельского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УВСН - удельный вес сельского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4. Коэффициент уровня цен в i-м муниципальном районе (городском округе) (К</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vertAlign w:val="superscript"/>
          <w:lang w:eastAsia="ru-RU"/>
        </w:rPr>
        <w:t>ц</w:t>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vertAlign w:val="superscript"/>
          <w:lang w:eastAsia="ru-RU"/>
        </w:rPr>
        <w:t>ц</w:t>
      </w:r>
      <w:r w:rsidRPr="00597AE7">
        <w:rPr>
          <w:rFonts w:ascii="Times New Roman" w:eastAsiaTheme="minorEastAsia" w:hAnsi="Times New Roman" w:cs="Times New Roman"/>
          <w:sz w:val="24"/>
          <w:szCs w:val="24"/>
          <w:lang w:eastAsia="ru-RU"/>
        </w:rPr>
        <w:t xml:space="preserve"> = УН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УН,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стоимость условного (минимального) набора продуктов питания, непродовольственных товаров и услуг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УН - средняя стоимость условного (минимального) набора продуктов питания, непродовольственных товаров и услуг в автономном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Стоимость и перечень условного (минимального) набора продуктов питания, непродовольственных товаров и услуг определяются по формам регионального информационного мониторинга, утверждаемым исполнительным органом государственной власти автономного округа, осуществляющим функции анализа и прогнозирования социально-экономического развития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5. Коэффициент стоимости предоставления коммунальных услуг в i-м муниципальном районе (городском округе) </w:t>
      </w:r>
      <w:r w:rsidRPr="00597AE7">
        <w:rPr>
          <w:rFonts w:ascii="Times New Roman" w:eastAsiaTheme="minorEastAsia" w:hAnsi="Times New Roman" w:cs="Times New Roman"/>
          <w:noProof/>
          <w:position w:val="-10"/>
          <w:sz w:val="24"/>
          <w:szCs w:val="24"/>
          <w:lang w:eastAsia="ru-RU"/>
        </w:rPr>
        <w:drawing>
          <wp:inline distT="0" distB="0" distL="0" distR="0" wp14:anchorId="623472B1" wp14:editId="1120C9EB">
            <wp:extent cx="457200" cy="285750"/>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8"/>
          <w:sz w:val="24"/>
          <w:szCs w:val="24"/>
          <w:lang w:eastAsia="ru-RU"/>
        </w:rPr>
        <w:drawing>
          <wp:inline distT="0" distB="0" distL="0" distR="0" wp14:anchorId="31EEF924" wp14:editId="37D89978">
            <wp:extent cx="6038850" cy="257175"/>
            <wp:effectExtent l="0" t="0" r="0" b="9525"/>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38850" cy="257175"/>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0B845DB3" wp14:editId="700B4BFB">
            <wp:extent cx="323850" cy="285750"/>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экономически обоснованный тариф на водоснабжение и водоотведение для i-го муниципального района (городского округа) на очередной финансовый год (первый или второй год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7C6EBF9C" wp14:editId="3FB9C560">
            <wp:extent cx="447675" cy="285750"/>
            <wp:effectExtent l="0" t="0" r="9525"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767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стоимости теплоснабжения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54D5B789" wp14:editId="25EEDD6F">
            <wp:extent cx="276225" cy="285750"/>
            <wp:effectExtent l="0" t="0" r="952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22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экономически обоснованный тариф на электроснабжение для i-го муниципального района (городского округа) на очередной финансовый год (первый или второй год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lastRenderedPageBreak/>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SUM - знак суммирования.</w:t>
      </w:r>
    </w:p>
    <w:p w:rsidR="00041B0D"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5.1. Коэффициент стоимости теплоснабжения в i-м муниципальном районе (городском</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 округе) </w:t>
      </w:r>
      <w:r w:rsidR="00041B0D" w:rsidRPr="00597AE7">
        <w:rPr>
          <w:rFonts w:ascii="Times New Roman" w:eastAsiaTheme="minorEastAsia" w:hAnsi="Times New Roman" w:cs="Times New Roman"/>
          <w:noProof/>
          <w:position w:val="-10"/>
          <w:sz w:val="24"/>
          <w:szCs w:val="24"/>
          <w:lang w:eastAsia="ru-RU"/>
        </w:rPr>
        <w:drawing>
          <wp:inline distT="0" distB="0" distL="0" distR="0" wp14:anchorId="2A0855C2" wp14:editId="1CCECAEC">
            <wp:extent cx="581025" cy="285750"/>
            <wp:effectExtent l="0" t="0" r="952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8102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790CDCE0" wp14:editId="7D826F1D">
            <wp:extent cx="4019550" cy="285750"/>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0FEDA18D" wp14:editId="2A5B54FF">
            <wp:extent cx="371475" cy="285750"/>
            <wp:effectExtent l="0" t="0" r="9525"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7147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продолжительности отопительного периода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0CD88C03" wp14:editId="6A800C9B">
            <wp:extent cx="371475" cy="285750"/>
            <wp:effectExtent l="0" t="0" r="952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147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стоимости тепловой энергии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SUM - знак суммирования.</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5.2. Коэффициент продолжительности отопительного периода в i-м муниципальном районе (городском округе) </w:t>
      </w:r>
      <w:r w:rsidRPr="00597AE7">
        <w:rPr>
          <w:rFonts w:ascii="Times New Roman" w:eastAsiaTheme="minorEastAsia" w:hAnsi="Times New Roman" w:cs="Times New Roman"/>
          <w:noProof/>
          <w:position w:val="-10"/>
          <w:sz w:val="24"/>
          <w:szCs w:val="24"/>
          <w:lang w:eastAsia="ru-RU"/>
        </w:rPr>
        <w:drawing>
          <wp:inline distT="0" distB="0" distL="0" distR="0" wp14:anchorId="4D707504" wp14:editId="6E460B11">
            <wp:extent cx="514350" cy="285750"/>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43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10238B9B" wp14:editId="3EAF79AC">
            <wp:extent cx="3238500" cy="285750"/>
            <wp:effectExtent l="0" t="0" r="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3850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ПОП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продолжительность отопительного периода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SUM - знак суммирования.</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5.3. Коэффициент стоимости тепловой энергии в i-м муниципальном районе (городском округе) </w:t>
      </w:r>
      <w:r w:rsidRPr="00597AE7">
        <w:rPr>
          <w:rFonts w:ascii="Times New Roman" w:eastAsiaTheme="minorEastAsia" w:hAnsi="Times New Roman" w:cs="Times New Roman"/>
          <w:noProof/>
          <w:position w:val="-10"/>
          <w:sz w:val="24"/>
          <w:szCs w:val="24"/>
          <w:lang w:eastAsia="ru-RU"/>
        </w:rPr>
        <w:drawing>
          <wp:inline distT="0" distB="0" distL="0" distR="0" wp14:anchorId="6CDB9672" wp14:editId="3F2780E2">
            <wp:extent cx="533400" cy="285750"/>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334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69884679" wp14:editId="2C049123">
            <wp:extent cx="3048000" cy="285750"/>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04800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4640A4E3" wp14:editId="390262A5">
            <wp:extent cx="409575" cy="285750"/>
            <wp:effectExtent l="0" t="0" r="9525"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957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экономически обоснованный тариф на отопление для i-го муниципального района (городского округа) на очередной финансовый год (первый или второй год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lastRenderedPageBreak/>
        <w:t>SUM - знак суммирования.</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6. Коэффициент транспортной доступности в i-м городском округе (</w:t>
      </w:r>
      <w:r w:rsidRPr="00597AE7">
        <w:rPr>
          <w:rFonts w:ascii="Times New Roman" w:eastAsiaTheme="minorEastAsia" w:hAnsi="Times New Roman" w:cs="Times New Roman"/>
          <w:noProof/>
          <w:position w:val="-10"/>
          <w:sz w:val="24"/>
          <w:szCs w:val="24"/>
          <w:lang w:eastAsia="ru-RU"/>
        </w:rPr>
        <w:drawing>
          <wp:inline distT="0" distB="0" distL="0" distR="0" wp14:anchorId="2B8F270A" wp14:editId="2DD96EF8">
            <wp:extent cx="361950" cy="285750"/>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2"/>
          <w:sz w:val="24"/>
          <w:szCs w:val="24"/>
          <w:lang w:eastAsia="ru-RU"/>
        </w:rPr>
        <w:drawing>
          <wp:inline distT="0" distB="0" distL="0" distR="0" wp14:anchorId="0982ECC0" wp14:editId="7EC12E41">
            <wp:extent cx="3333750" cy="314325"/>
            <wp:effectExtent l="0" t="0" r="0" b="9525"/>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33750" cy="314325"/>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Уд</w:t>
      </w:r>
      <w:r w:rsidRPr="00597AE7">
        <w:rPr>
          <w:rFonts w:ascii="Times New Roman" w:eastAsiaTheme="minorEastAsia" w:hAnsi="Times New Roman" w:cs="Times New Roman"/>
          <w:sz w:val="24"/>
          <w:szCs w:val="24"/>
          <w:vertAlign w:val="subscript"/>
          <w:lang w:eastAsia="ru-RU"/>
        </w:rPr>
        <w:t>ср</w:t>
      </w:r>
      <w:r w:rsidRPr="00597AE7">
        <w:rPr>
          <w:rFonts w:ascii="Times New Roman" w:eastAsiaTheme="minorEastAsia" w:hAnsi="Times New Roman" w:cs="Times New Roman"/>
          <w:sz w:val="24"/>
          <w:szCs w:val="24"/>
          <w:lang w:eastAsia="ru-RU"/>
        </w:rPr>
        <w:t xml:space="preserve"> - средняя удаленность городских округов от железнодорожных станций;</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Уд</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удаленность i-го городского округа от железнодорожной станции;</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УВО</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удельный вес населения i-го городского округа, проживающего в районах с ограниченными сроками завоза товаров, в численности всего населения данного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2"/>
          <w:sz w:val="24"/>
          <w:szCs w:val="24"/>
          <w:lang w:eastAsia="ru-RU"/>
        </w:rPr>
        <w:drawing>
          <wp:inline distT="0" distB="0" distL="0" distR="0" wp14:anchorId="54186FC5" wp14:editId="4884B1A8">
            <wp:extent cx="419100" cy="314325"/>
            <wp:effectExtent l="0" t="0" r="0" b="9525"/>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9100" cy="314325"/>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нормировочный коэффициент транспортной доступности.</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7. Коэффициент транспортной доступности в i-м муниципальном районе (</w:t>
      </w:r>
      <w:r w:rsidRPr="00597AE7">
        <w:rPr>
          <w:rFonts w:ascii="Times New Roman" w:eastAsiaTheme="minorEastAsia" w:hAnsi="Times New Roman" w:cs="Times New Roman"/>
          <w:noProof/>
          <w:position w:val="-10"/>
          <w:sz w:val="24"/>
          <w:szCs w:val="24"/>
          <w:lang w:eastAsia="ru-RU"/>
        </w:rPr>
        <w:drawing>
          <wp:inline distT="0" distB="0" distL="0" distR="0" wp14:anchorId="25A052C0" wp14:editId="129345A0">
            <wp:extent cx="361950" cy="285750"/>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19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2"/>
          <w:sz w:val="24"/>
          <w:szCs w:val="24"/>
          <w:lang w:eastAsia="ru-RU"/>
        </w:rPr>
        <w:drawing>
          <wp:inline distT="0" distB="0" distL="0" distR="0" wp14:anchorId="36E2D59B" wp14:editId="372963EA">
            <wp:extent cx="3371850" cy="314325"/>
            <wp:effectExtent l="0" t="0" r="0" b="9525"/>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71850" cy="314325"/>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плотность транспортных путей постоянного действия (железных дорог и автомобильных дорог с твердым покрытием) в i-м муниципальном районе;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w:t>
      </w:r>
      <w:r w:rsidRPr="00597AE7">
        <w:rPr>
          <w:rFonts w:ascii="Times New Roman" w:eastAsiaTheme="minorEastAsia" w:hAnsi="Times New Roman" w:cs="Times New Roman"/>
          <w:sz w:val="24"/>
          <w:szCs w:val="24"/>
          <w:vertAlign w:val="subscript"/>
          <w:lang w:eastAsia="ru-RU"/>
        </w:rPr>
        <w:t>ср</w:t>
      </w:r>
      <w:r w:rsidRPr="00597AE7">
        <w:rPr>
          <w:rFonts w:ascii="Times New Roman" w:eastAsiaTheme="minorEastAsia" w:hAnsi="Times New Roman" w:cs="Times New Roman"/>
          <w:sz w:val="24"/>
          <w:szCs w:val="24"/>
          <w:lang w:eastAsia="ru-RU"/>
        </w:rPr>
        <w:t xml:space="preserve"> - плотность транспортных путей постоянного действия (железных дорог и автомобильных дорог с твердым покрытием) в автономном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УВО</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удельный вес населения i-го муниципального района, проживающего в районах с ограниченными сроками завоза товаров, в численности всего населения данного муниципального района;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2"/>
          <w:sz w:val="24"/>
          <w:szCs w:val="24"/>
          <w:lang w:eastAsia="ru-RU"/>
        </w:rPr>
        <w:drawing>
          <wp:inline distT="0" distB="0" distL="0" distR="0" wp14:anchorId="49EAE239" wp14:editId="52F572DB">
            <wp:extent cx="419100" cy="314325"/>
            <wp:effectExtent l="0" t="0" r="0" b="9525"/>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19100" cy="314325"/>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нормировочный коэффициент транспортной доступности.</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Для муниципальных районов автономного округа, в которых плотность транспортных путей постоянного действия выше аналогичного показателя в среднем по автономному округу, отношение 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П</w:t>
      </w:r>
      <w:r w:rsidRPr="00597AE7">
        <w:rPr>
          <w:rFonts w:ascii="Times New Roman" w:eastAsiaTheme="minorEastAsia" w:hAnsi="Times New Roman" w:cs="Times New Roman"/>
          <w:sz w:val="24"/>
          <w:szCs w:val="24"/>
          <w:vertAlign w:val="subscript"/>
          <w:lang w:eastAsia="ru-RU"/>
        </w:rPr>
        <w:t>ср</w:t>
      </w:r>
      <w:r w:rsidRPr="00597AE7">
        <w:rPr>
          <w:rFonts w:ascii="Times New Roman" w:eastAsiaTheme="minorEastAsia" w:hAnsi="Times New Roman" w:cs="Times New Roman"/>
          <w:sz w:val="24"/>
          <w:szCs w:val="24"/>
          <w:lang w:eastAsia="ru-RU"/>
        </w:rPr>
        <w:t xml:space="preserve"> принимается равным 1.</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8. Нормировочный коэффициент транспортной доступности (</w:t>
      </w:r>
      <w:r w:rsidRPr="00597AE7">
        <w:rPr>
          <w:rFonts w:ascii="Times New Roman" w:eastAsiaTheme="minorEastAsia" w:hAnsi="Times New Roman" w:cs="Times New Roman"/>
          <w:noProof/>
          <w:position w:val="-12"/>
          <w:sz w:val="24"/>
          <w:szCs w:val="24"/>
          <w:lang w:eastAsia="ru-RU"/>
        </w:rPr>
        <w:drawing>
          <wp:inline distT="0" distB="0" distL="0" distR="0" wp14:anchorId="2D4426B5" wp14:editId="2A8DBDDB">
            <wp:extent cx="419100" cy="314325"/>
            <wp:effectExtent l="0" t="0" r="0" b="9525"/>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9100" cy="314325"/>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7"/>
          <w:sz w:val="24"/>
          <w:szCs w:val="24"/>
          <w:lang w:eastAsia="ru-RU"/>
        </w:rPr>
        <w:drawing>
          <wp:inline distT="0" distB="0" distL="0" distR="0" wp14:anchorId="1AB934B5" wp14:editId="4E27B56E">
            <wp:extent cx="6076950" cy="247650"/>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076950" cy="2476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Уд</w:t>
      </w:r>
      <w:r w:rsidRPr="00597AE7">
        <w:rPr>
          <w:rFonts w:ascii="Times New Roman" w:eastAsiaTheme="minorEastAsia" w:hAnsi="Times New Roman" w:cs="Times New Roman"/>
          <w:sz w:val="24"/>
          <w:szCs w:val="24"/>
          <w:vertAlign w:val="subscript"/>
          <w:lang w:eastAsia="ru-RU"/>
        </w:rPr>
        <w:t>ср</w:t>
      </w:r>
      <w:r w:rsidRPr="00597AE7">
        <w:rPr>
          <w:rFonts w:ascii="Times New Roman" w:eastAsiaTheme="minorEastAsia" w:hAnsi="Times New Roman" w:cs="Times New Roman"/>
          <w:sz w:val="24"/>
          <w:szCs w:val="24"/>
          <w:lang w:eastAsia="ru-RU"/>
        </w:rPr>
        <w:t xml:space="preserve"> - средняя удаленность городских округов от железнодорожных станций;</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Уд</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удаленность i-го городского округа от железнодорожной станции;</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lastRenderedPageBreak/>
        <w:t>УВО</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удельный вес населения i-го муниципального района (городского округа), проживающего в районах с ограниченными сроками завоза товаров, в численности всего населения данного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плотность транспортных путей постоянного действия (железных дорог и автомобильных дорог с твердым покрытием) в i-м муниципальном районе;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w:t>
      </w:r>
      <w:r w:rsidRPr="00597AE7">
        <w:rPr>
          <w:rFonts w:ascii="Times New Roman" w:eastAsiaTheme="minorEastAsia" w:hAnsi="Times New Roman" w:cs="Times New Roman"/>
          <w:sz w:val="24"/>
          <w:szCs w:val="24"/>
          <w:vertAlign w:val="subscript"/>
          <w:lang w:eastAsia="ru-RU"/>
        </w:rPr>
        <w:t>ср</w:t>
      </w:r>
      <w:r w:rsidRPr="00597AE7">
        <w:rPr>
          <w:rFonts w:ascii="Times New Roman" w:eastAsiaTheme="minorEastAsia" w:hAnsi="Times New Roman" w:cs="Times New Roman"/>
          <w:sz w:val="24"/>
          <w:szCs w:val="24"/>
          <w:lang w:eastAsia="ru-RU"/>
        </w:rPr>
        <w:t xml:space="preserve"> - плотность транспортных путей постоянного действия (железных дорог и автомобильных дорог с твердым покрытием) в автономном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9. Коэффициент структуры потребителей муниципальных услуг в i-м муниципальном районе (городском округе) </w:t>
      </w:r>
      <w:r w:rsidRPr="00597AE7">
        <w:rPr>
          <w:rFonts w:ascii="Times New Roman" w:eastAsiaTheme="minorEastAsia" w:hAnsi="Times New Roman" w:cs="Times New Roman"/>
          <w:noProof/>
          <w:position w:val="-10"/>
          <w:sz w:val="24"/>
          <w:szCs w:val="24"/>
          <w:lang w:eastAsia="ru-RU"/>
        </w:rPr>
        <w:drawing>
          <wp:inline distT="0" distB="0" distL="0" distR="0" wp14:anchorId="64682735" wp14:editId="0AB50BD3">
            <wp:extent cx="533400" cy="285750"/>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334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6"/>
          <w:sz w:val="24"/>
          <w:szCs w:val="24"/>
          <w:lang w:eastAsia="ru-RU"/>
        </w:rPr>
        <w:drawing>
          <wp:inline distT="0" distB="0" distL="0" distR="0" wp14:anchorId="5E9362E2" wp14:editId="57457202">
            <wp:extent cx="6029325" cy="228600"/>
            <wp:effectExtent l="0" t="0" r="9525"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029325" cy="22860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а</w:t>
      </w:r>
      <w:r w:rsidRPr="00597AE7">
        <w:rPr>
          <w:rFonts w:ascii="Times New Roman" w:eastAsiaTheme="minorEastAsia" w:hAnsi="Times New Roman" w:cs="Times New Roman"/>
          <w:sz w:val="24"/>
          <w:szCs w:val="24"/>
          <w:vertAlign w:val="superscript"/>
          <w:lang w:eastAsia="ru-RU"/>
        </w:rPr>
        <w:t>1</w:t>
      </w:r>
      <w:r w:rsidRPr="00597AE7">
        <w:rPr>
          <w:rFonts w:ascii="Times New Roman" w:eastAsiaTheme="minorEastAsia" w:hAnsi="Times New Roman" w:cs="Times New Roman"/>
          <w:sz w:val="24"/>
          <w:szCs w:val="24"/>
          <w:lang w:eastAsia="ru-RU"/>
        </w:rPr>
        <w:t>, а</w:t>
      </w:r>
      <w:r w:rsidRPr="00597AE7">
        <w:rPr>
          <w:rFonts w:ascii="Times New Roman" w:eastAsiaTheme="minorEastAsia" w:hAnsi="Times New Roman" w:cs="Times New Roman"/>
          <w:sz w:val="24"/>
          <w:szCs w:val="24"/>
          <w:vertAlign w:val="superscript"/>
          <w:lang w:eastAsia="ru-RU"/>
        </w:rPr>
        <w:t>2</w:t>
      </w:r>
      <w:r w:rsidRPr="00597AE7">
        <w:rPr>
          <w:rFonts w:ascii="Times New Roman" w:eastAsiaTheme="minorEastAsia" w:hAnsi="Times New Roman" w:cs="Times New Roman"/>
          <w:sz w:val="24"/>
          <w:szCs w:val="24"/>
          <w:lang w:eastAsia="ru-RU"/>
        </w:rPr>
        <w:t>, а</w:t>
      </w:r>
      <w:r w:rsidRPr="00597AE7">
        <w:rPr>
          <w:rFonts w:ascii="Times New Roman" w:eastAsiaTheme="minorEastAsia" w:hAnsi="Times New Roman" w:cs="Times New Roman"/>
          <w:sz w:val="24"/>
          <w:szCs w:val="24"/>
          <w:vertAlign w:val="superscript"/>
          <w:lang w:eastAsia="ru-RU"/>
        </w:rPr>
        <w:t>3</w:t>
      </w:r>
      <w:r w:rsidRPr="00597AE7">
        <w:rPr>
          <w:rFonts w:ascii="Times New Roman" w:eastAsiaTheme="minorEastAsia" w:hAnsi="Times New Roman" w:cs="Times New Roman"/>
          <w:sz w:val="24"/>
          <w:szCs w:val="24"/>
          <w:lang w:eastAsia="ru-RU"/>
        </w:rPr>
        <w:t>, а</w:t>
      </w:r>
      <w:r w:rsidRPr="00597AE7">
        <w:rPr>
          <w:rFonts w:ascii="Times New Roman" w:eastAsiaTheme="minorEastAsia" w:hAnsi="Times New Roman" w:cs="Times New Roman"/>
          <w:sz w:val="24"/>
          <w:szCs w:val="24"/>
          <w:vertAlign w:val="superscript"/>
          <w:lang w:eastAsia="ru-RU"/>
        </w:rPr>
        <w:t>4</w:t>
      </w:r>
      <w:r w:rsidRPr="00597AE7">
        <w:rPr>
          <w:rFonts w:ascii="Times New Roman" w:eastAsiaTheme="minorEastAsia" w:hAnsi="Times New Roman" w:cs="Times New Roman"/>
          <w:sz w:val="24"/>
          <w:szCs w:val="24"/>
          <w:lang w:eastAsia="ru-RU"/>
        </w:rPr>
        <w:t>, а</w:t>
      </w:r>
      <w:r w:rsidRPr="00597AE7">
        <w:rPr>
          <w:rFonts w:ascii="Times New Roman" w:eastAsiaTheme="minorEastAsia" w:hAnsi="Times New Roman" w:cs="Times New Roman"/>
          <w:sz w:val="24"/>
          <w:szCs w:val="24"/>
          <w:vertAlign w:val="superscript"/>
          <w:lang w:eastAsia="ru-RU"/>
        </w:rPr>
        <w:t>5</w:t>
      </w:r>
      <w:r w:rsidRPr="00597AE7">
        <w:rPr>
          <w:rFonts w:ascii="Times New Roman" w:eastAsiaTheme="minorEastAsia" w:hAnsi="Times New Roman" w:cs="Times New Roman"/>
          <w:sz w:val="24"/>
          <w:szCs w:val="24"/>
          <w:lang w:eastAsia="ru-RU"/>
        </w:rPr>
        <w:t xml:space="preserve"> - доля вида расходов, включенных в репрезентативную систему расходов, в общем объеме расходов по всем муниципальным районам (городским округам).</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Каждая из вышеуказанных долей видов расходов соответствует следующим условиям:</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а</w:t>
      </w:r>
      <w:r w:rsidRPr="00597AE7">
        <w:rPr>
          <w:rFonts w:ascii="Times New Roman" w:eastAsiaTheme="minorEastAsia" w:hAnsi="Times New Roman" w:cs="Times New Roman"/>
          <w:sz w:val="24"/>
          <w:szCs w:val="24"/>
          <w:vertAlign w:val="superscript"/>
          <w:lang w:eastAsia="ru-RU"/>
        </w:rPr>
        <w:t>1</w:t>
      </w:r>
      <w:r w:rsidRPr="00597AE7">
        <w:rPr>
          <w:rFonts w:ascii="Times New Roman" w:eastAsiaTheme="minorEastAsia" w:hAnsi="Times New Roman" w:cs="Times New Roman"/>
          <w:sz w:val="24"/>
          <w:szCs w:val="24"/>
          <w:lang w:eastAsia="ru-RU"/>
        </w:rPr>
        <w:t>, а</w:t>
      </w:r>
      <w:r w:rsidRPr="00597AE7">
        <w:rPr>
          <w:rFonts w:ascii="Times New Roman" w:eastAsiaTheme="minorEastAsia" w:hAnsi="Times New Roman" w:cs="Times New Roman"/>
          <w:sz w:val="24"/>
          <w:szCs w:val="24"/>
          <w:vertAlign w:val="superscript"/>
          <w:lang w:eastAsia="ru-RU"/>
        </w:rPr>
        <w:t>2</w:t>
      </w:r>
      <w:r w:rsidRPr="00597AE7">
        <w:rPr>
          <w:rFonts w:ascii="Times New Roman" w:eastAsiaTheme="minorEastAsia" w:hAnsi="Times New Roman" w:cs="Times New Roman"/>
          <w:sz w:val="24"/>
          <w:szCs w:val="24"/>
          <w:lang w:eastAsia="ru-RU"/>
        </w:rPr>
        <w:t>, а</w:t>
      </w:r>
      <w:r w:rsidRPr="00597AE7">
        <w:rPr>
          <w:rFonts w:ascii="Times New Roman" w:eastAsiaTheme="minorEastAsia" w:hAnsi="Times New Roman" w:cs="Times New Roman"/>
          <w:sz w:val="24"/>
          <w:szCs w:val="24"/>
          <w:vertAlign w:val="superscript"/>
          <w:lang w:eastAsia="ru-RU"/>
        </w:rPr>
        <w:t>3</w:t>
      </w:r>
      <w:r w:rsidRPr="00597AE7">
        <w:rPr>
          <w:rFonts w:ascii="Times New Roman" w:eastAsiaTheme="minorEastAsia" w:hAnsi="Times New Roman" w:cs="Times New Roman"/>
          <w:sz w:val="24"/>
          <w:szCs w:val="24"/>
          <w:lang w:eastAsia="ru-RU"/>
        </w:rPr>
        <w:t>, а</w:t>
      </w:r>
      <w:r w:rsidRPr="00597AE7">
        <w:rPr>
          <w:rFonts w:ascii="Times New Roman" w:eastAsiaTheme="minorEastAsia" w:hAnsi="Times New Roman" w:cs="Times New Roman"/>
          <w:sz w:val="24"/>
          <w:szCs w:val="24"/>
          <w:vertAlign w:val="superscript"/>
          <w:lang w:eastAsia="ru-RU"/>
        </w:rPr>
        <w:t>4</w:t>
      </w:r>
      <w:r w:rsidRPr="00597AE7">
        <w:rPr>
          <w:rFonts w:ascii="Times New Roman" w:eastAsiaTheme="minorEastAsia" w:hAnsi="Times New Roman" w:cs="Times New Roman"/>
          <w:sz w:val="24"/>
          <w:szCs w:val="24"/>
          <w:lang w:eastAsia="ru-RU"/>
        </w:rPr>
        <w:t>, а</w:t>
      </w:r>
      <w:r w:rsidRPr="00597AE7">
        <w:rPr>
          <w:rFonts w:ascii="Times New Roman" w:eastAsiaTheme="minorEastAsia" w:hAnsi="Times New Roman" w:cs="Times New Roman"/>
          <w:sz w:val="24"/>
          <w:szCs w:val="24"/>
          <w:vertAlign w:val="superscript"/>
          <w:lang w:eastAsia="ru-RU"/>
        </w:rPr>
        <w:t>5</w:t>
      </w:r>
      <w:r w:rsidRPr="00597AE7">
        <w:rPr>
          <w:rFonts w:ascii="Times New Roman" w:eastAsiaTheme="minorEastAsia" w:hAnsi="Times New Roman" w:cs="Times New Roman"/>
          <w:sz w:val="24"/>
          <w:szCs w:val="24"/>
          <w:lang w:eastAsia="ru-RU"/>
        </w:rPr>
        <w:t xml:space="preserve"> &gt;= 0 и а</w:t>
      </w:r>
      <w:r w:rsidRPr="00597AE7">
        <w:rPr>
          <w:rFonts w:ascii="Times New Roman" w:eastAsiaTheme="minorEastAsia" w:hAnsi="Times New Roman" w:cs="Times New Roman"/>
          <w:sz w:val="24"/>
          <w:szCs w:val="24"/>
          <w:vertAlign w:val="superscript"/>
          <w:lang w:eastAsia="ru-RU"/>
        </w:rPr>
        <w:t>1</w:t>
      </w:r>
      <w:r w:rsidRPr="00597AE7">
        <w:rPr>
          <w:rFonts w:ascii="Times New Roman" w:eastAsiaTheme="minorEastAsia" w:hAnsi="Times New Roman" w:cs="Times New Roman"/>
          <w:sz w:val="24"/>
          <w:szCs w:val="24"/>
          <w:lang w:eastAsia="ru-RU"/>
        </w:rPr>
        <w:t xml:space="preserve"> + а</w:t>
      </w:r>
      <w:r w:rsidRPr="00597AE7">
        <w:rPr>
          <w:rFonts w:ascii="Times New Roman" w:eastAsiaTheme="minorEastAsia" w:hAnsi="Times New Roman" w:cs="Times New Roman"/>
          <w:sz w:val="24"/>
          <w:szCs w:val="24"/>
          <w:vertAlign w:val="superscript"/>
          <w:lang w:eastAsia="ru-RU"/>
        </w:rPr>
        <w:t>2</w:t>
      </w:r>
      <w:r w:rsidRPr="00597AE7">
        <w:rPr>
          <w:rFonts w:ascii="Times New Roman" w:eastAsiaTheme="minorEastAsia" w:hAnsi="Times New Roman" w:cs="Times New Roman"/>
          <w:sz w:val="24"/>
          <w:szCs w:val="24"/>
          <w:lang w:eastAsia="ru-RU"/>
        </w:rPr>
        <w:t xml:space="preserve"> + а</w:t>
      </w:r>
      <w:r w:rsidRPr="00597AE7">
        <w:rPr>
          <w:rFonts w:ascii="Times New Roman" w:eastAsiaTheme="minorEastAsia" w:hAnsi="Times New Roman" w:cs="Times New Roman"/>
          <w:sz w:val="24"/>
          <w:szCs w:val="24"/>
          <w:vertAlign w:val="superscript"/>
          <w:lang w:eastAsia="ru-RU"/>
        </w:rPr>
        <w:t>3</w:t>
      </w:r>
      <w:r w:rsidRPr="00597AE7">
        <w:rPr>
          <w:rFonts w:ascii="Times New Roman" w:eastAsiaTheme="minorEastAsia" w:hAnsi="Times New Roman" w:cs="Times New Roman"/>
          <w:sz w:val="24"/>
          <w:szCs w:val="24"/>
          <w:lang w:eastAsia="ru-RU"/>
        </w:rPr>
        <w:t xml:space="preserve"> + а</w:t>
      </w:r>
      <w:r w:rsidRPr="00597AE7">
        <w:rPr>
          <w:rFonts w:ascii="Times New Roman" w:eastAsiaTheme="minorEastAsia" w:hAnsi="Times New Roman" w:cs="Times New Roman"/>
          <w:sz w:val="24"/>
          <w:szCs w:val="24"/>
          <w:vertAlign w:val="superscript"/>
          <w:lang w:eastAsia="ru-RU"/>
        </w:rPr>
        <w:t>4</w:t>
      </w:r>
      <w:r w:rsidRPr="00597AE7">
        <w:rPr>
          <w:rFonts w:ascii="Times New Roman" w:eastAsiaTheme="minorEastAsia" w:hAnsi="Times New Roman" w:cs="Times New Roman"/>
          <w:sz w:val="24"/>
          <w:szCs w:val="24"/>
          <w:lang w:eastAsia="ru-RU"/>
        </w:rPr>
        <w:t xml:space="preserve"> + а</w:t>
      </w:r>
      <w:r w:rsidRPr="00597AE7">
        <w:rPr>
          <w:rFonts w:ascii="Times New Roman" w:eastAsiaTheme="minorEastAsia" w:hAnsi="Times New Roman" w:cs="Times New Roman"/>
          <w:sz w:val="24"/>
          <w:szCs w:val="24"/>
          <w:vertAlign w:val="superscript"/>
          <w:lang w:eastAsia="ru-RU"/>
        </w:rPr>
        <w:t>5</w:t>
      </w:r>
      <w:r w:rsidRPr="00597AE7">
        <w:rPr>
          <w:rFonts w:ascii="Times New Roman" w:eastAsiaTheme="minorEastAsia" w:hAnsi="Times New Roman" w:cs="Times New Roman"/>
          <w:sz w:val="24"/>
          <w:szCs w:val="24"/>
          <w:lang w:eastAsia="ru-RU"/>
        </w:rPr>
        <w:t xml:space="preserve"> &lt;= 1;</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1E33A4E0" wp14:editId="3E48D94D">
            <wp:extent cx="285750" cy="285750"/>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масштаба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0BC53418" wp14:editId="276C3D62">
            <wp:extent cx="504825" cy="285750"/>
            <wp:effectExtent l="0" t="0" r="9525"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0482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плотности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7E7BA912" wp14:editId="69121AE3">
            <wp:extent cx="381000" cy="285750"/>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810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содержания дорог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769E6056" wp14:editId="34E2B655">
            <wp:extent cx="409575" cy="285750"/>
            <wp:effectExtent l="0" t="0" r="9525"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0957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приведенной численности обучающихся в общеобразовательных организациях (школах)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7879B4B7" wp14:editId="7016C883">
            <wp:extent cx="323850" cy="285750"/>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численности детей в возрасте от 1 года до 6 лет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3517497E" wp14:editId="596B4302">
            <wp:extent cx="419100" cy="28575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191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коэффициент дисперсности расселения в i-м муниципальном районе (городском округе).</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Состав репрезентативной системы расходов, а также применяемые к ним коэффициенты представлены в таблице 2.</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bookmarkStart w:id="2" w:name="Par900"/>
      <w:bookmarkEnd w:id="2"/>
      <w:r w:rsidRPr="00597AE7">
        <w:rPr>
          <w:rFonts w:ascii="Times New Roman" w:eastAsiaTheme="minorEastAsia" w:hAnsi="Times New Roman" w:cs="Times New Roman"/>
          <w:sz w:val="24"/>
          <w:szCs w:val="24"/>
          <w:lang w:eastAsia="ru-RU"/>
        </w:rPr>
        <w:t>Таблица 2</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989"/>
        <w:gridCol w:w="3345"/>
      </w:tblGrid>
      <w:tr w:rsidR="00597AE7" w:rsidRPr="00597AE7" w:rsidTr="00730B1D">
        <w:tc>
          <w:tcPr>
            <w:tcW w:w="4989"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Вопрос местного значения</w:t>
            </w:r>
          </w:p>
        </w:tc>
        <w:tc>
          <w:tcPr>
            <w:tcW w:w="3345"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Коэффициент, влияющий на </w:t>
            </w:r>
            <w:r w:rsidRPr="00597AE7">
              <w:rPr>
                <w:rFonts w:ascii="Times New Roman" w:eastAsiaTheme="minorEastAsia" w:hAnsi="Times New Roman" w:cs="Times New Roman"/>
                <w:sz w:val="24"/>
                <w:szCs w:val="24"/>
                <w:lang w:eastAsia="ru-RU"/>
              </w:rPr>
              <w:lastRenderedPageBreak/>
              <w:t>отраслевую структуру расходов</w:t>
            </w:r>
          </w:p>
        </w:tc>
      </w:tr>
      <w:tr w:rsidR="00597AE7" w:rsidRPr="00597AE7" w:rsidTr="00730B1D">
        <w:tc>
          <w:tcPr>
            <w:tcW w:w="4989"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lastRenderedPageBreak/>
              <w:t>1</w:t>
            </w:r>
          </w:p>
        </w:tc>
        <w:tc>
          <w:tcPr>
            <w:tcW w:w="3345"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2</w:t>
            </w:r>
          </w:p>
        </w:tc>
      </w:tr>
      <w:tr w:rsidR="00597AE7" w:rsidRPr="00597AE7" w:rsidTr="00730B1D">
        <w:tc>
          <w:tcPr>
            <w:tcW w:w="4989"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Общее управление (составление и рассмотрение проекта бюджета муниципального района (городского округа), утверждение и исполнение бюджета муниципального района (городского округа), осуществление контроля за его исполнением, составление и утверждение отчета</w:t>
            </w:r>
          </w:p>
        </w:tc>
        <w:tc>
          <w:tcPr>
            <w:tcW w:w="3345"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коэффициент масштаба</w:t>
            </w:r>
          </w:p>
        </w:tc>
      </w:tr>
      <w:tr w:rsidR="00597AE7" w:rsidRPr="00597AE7" w:rsidTr="00730B1D">
        <w:tc>
          <w:tcPr>
            <w:tcW w:w="4989"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об исполнении бюджета муниципального района (городского округа); установление, изменение и отмена местных налогов и сборов муниципального района (городского округа); владение, пользование и распоряжение имуществом, находящимся в муниципальной собственности муниципального района (городского округа)</w:t>
            </w:r>
          </w:p>
        </w:tc>
        <w:tc>
          <w:tcPr>
            <w:tcW w:w="3345"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97AE7" w:rsidRPr="00597AE7" w:rsidTr="00730B1D">
        <w:tc>
          <w:tcPr>
            <w:tcW w:w="4989"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tc>
        <w:tc>
          <w:tcPr>
            <w:tcW w:w="3345" w:type="dxa"/>
            <w:vMerge w:val="restart"/>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коэффициент плотности населения</w:t>
            </w:r>
          </w:p>
        </w:tc>
      </w:tr>
      <w:tr w:rsidR="00597AE7" w:rsidRPr="00597AE7" w:rsidTr="00730B1D">
        <w:tc>
          <w:tcPr>
            <w:tcW w:w="4989"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3345" w:type="dxa"/>
            <w:vMerge/>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97AE7" w:rsidRPr="00597AE7" w:rsidTr="00730B1D">
        <w:tc>
          <w:tcPr>
            <w:tcW w:w="4989"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3345" w:type="dxa"/>
            <w:vMerge w:val="restart"/>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коэффициент содержания дорог</w:t>
            </w:r>
          </w:p>
        </w:tc>
      </w:tr>
      <w:tr w:rsidR="00597AE7" w:rsidRPr="00597AE7" w:rsidTr="00730B1D">
        <w:tc>
          <w:tcPr>
            <w:tcW w:w="4989"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Дорожная деятельность в отношении </w:t>
            </w:r>
            <w:r w:rsidRPr="00597AE7">
              <w:rPr>
                <w:rFonts w:ascii="Times New Roman" w:eastAsiaTheme="minorEastAsia" w:hAnsi="Times New Roman" w:cs="Times New Roman"/>
                <w:sz w:val="24"/>
                <w:szCs w:val="24"/>
                <w:lang w:eastAsia="ru-RU"/>
              </w:rPr>
              <w:lastRenderedPageBreak/>
              <w:t>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3345" w:type="dxa"/>
            <w:vMerge/>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97AE7" w:rsidRPr="00597AE7" w:rsidTr="00730B1D">
        <w:tc>
          <w:tcPr>
            <w:tcW w:w="4989"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3345"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коэффициент приведенной численности обучающихся в общеобразовательных организациях (школах)</w:t>
            </w:r>
          </w:p>
        </w:tc>
      </w:tr>
      <w:tr w:rsidR="00597AE7" w:rsidRPr="00597AE7" w:rsidTr="00730B1D">
        <w:tc>
          <w:tcPr>
            <w:tcW w:w="4989"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Организация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w:t>
            </w:r>
          </w:p>
        </w:tc>
        <w:tc>
          <w:tcPr>
            <w:tcW w:w="3345"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коэффициент численности детей в возрасте от 1 года до 6 лет</w:t>
            </w:r>
          </w:p>
        </w:tc>
      </w:tr>
      <w:tr w:rsidR="00597AE7" w:rsidRPr="00597AE7" w:rsidTr="00730B1D">
        <w:tc>
          <w:tcPr>
            <w:tcW w:w="4989"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Иные вопросы местного значения, общие для муниципальных районов и городских округов</w:t>
            </w:r>
          </w:p>
        </w:tc>
        <w:tc>
          <w:tcPr>
            <w:tcW w:w="3345" w:type="dxa"/>
            <w:tcBorders>
              <w:top w:val="single" w:sz="4" w:space="0" w:color="auto"/>
              <w:left w:val="single" w:sz="4" w:space="0" w:color="auto"/>
              <w:bottom w:val="single" w:sz="4" w:space="0" w:color="auto"/>
              <w:right w:val="single" w:sz="4" w:space="0" w:color="auto"/>
            </w:tcBorders>
          </w:tcPr>
          <w:p w:rsidR="00597AE7" w:rsidRPr="00597AE7" w:rsidRDefault="00597AE7" w:rsidP="00597AE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коэффициент дисперсности расселения</w:t>
            </w:r>
          </w:p>
        </w:tc>
      </w:tr>
    </w:tbl>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10. Коэффициент масштаба i-го муниципального района (городского округа) (</w:t>
      </w:r>
      <w:r w:rsidRPr="00597AE7">
        <w:rPr>
          <w:rFonts w:ascii="Times New Roman" w:eastAsiaTheme="minorEastAsia" w:hAnsi="Times New Roman" w:cs="Times New Roman"/>
          <w:noProof/>
          <w:position w:val="-10"/>
          <w:sz w:val="24"/>
          <w:szCs w:val="24"/>
          <w:lang w:eastAsia="ru-RU"/>
        </w:rPr>
        <w:drawing>
          <wp:inline distT="0" distB="0" distL="0" distR="0" wp14:anchorId="02F69493" wp14:editId="48AE6DA5">
            <wp:extent cx="285750" cy="285750"/>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66B12D28" wp14:editId="361E3CAF">
            <wp:extent cx="2419350" cy="285750"/>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41935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perscript"/>
          <w:lang w:eastAsia="ru-RU"/>
        </w:rPr>
        <w:t>ср</w:t>
      </w:r>
      <w:r w:rsidRPr="00597AE7">
        <w:rPr>
          <w:rFonts w:ascii="Times New Roman" w:eastAsiaTheme="minorEastAsia" w:hAnsi="Times New Roman" w:cs="Times New Roman"/>
          <w:sz w:val="24"/>
          <w:szCs w:val="24"/>
          <w:lang w:eastAsia="ru-RU"/>
        </w:rPr>
        <w:t xml:space="preserve"> - средняя численность постоянного населения муниципальных районов (городских округов);</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10.1. Коэффициент плотности населения i-го муниципального района (городского округа) </w:t>
      </w:r>
      <w:r w:rsidRPr="00597AE7">
        <w:rPr>
          <w:rFonts w:ascii="Times New Roman" w:eastAsiaTheme="minorEastAsia" w:hAnsi="Times New Roman" w:cs="Times New Roman"/>
          <w:noProof/>
          <w:position w:val="-10"/>
          <w:sz w:val="24"/>
          <w:szCs w:val="24"/>
          <w:lang w:eastAsia="ru-RU"/>
        </w:rPr>
        <w:drawing>
          <wp:inline distT="0" distB="0" distL="0" distR="0" wp14:anchorId="410AE7A8" wp14:editId="5A65E8F4">
            <wp:extent cx="638175" cy="285750"/>
            <wp:effectExtent l="0" t="0" r="9525"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3817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12A6B914" wp14:editId="2116DEFA">
            <wp:extent cx="2933700" cy="285750"/>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93370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0574E4D5" wp14:editId="707B61D8">
            <wp:extent cx="323850" cy="28575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ненормированный коэффициент плотности населения i-го муниципального района (городского округа), который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48658A96" wp14:editId="7A8284B7">
            <wp:extent cx="1752600" cy="28575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5260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плотность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w:t>
      </w:r>
      <w:r w:rsidRPr="00597AE7">
        <w:rPr>
          <w:rFonts w:ascii="Times New Roman" w:eastAsiaTheme="minorEastAsia" w:hAnsi="Times New Roman" w:cs="Times New Roman"/>
          <w:sz w:val="24"/>
          <w:szCs w:val="24"/>
          <w:vertAlign w:val="superscript"/>
          <w:lang w:eastAsia="ru-RU"/>
        </w:rPr>
        <w:t>ср</w:t>
      </w:r>
      <w:r w:rsidRPr="00597AE7">
        <w:rPr>
          <w:rFonts w:ascii="Times New Roman" w:eastAsiaTheme="minorEastAsia" w:hAnsi="Times New Roman" w:cs="Times New Roman"/>
          <w:sz w:val="24"/>
          <w:szCs w:val="24"/>
          <w:lang w:eastAsia="ru-RU"/>
        </w:rPr>
        <w:t xml:space="preserve"> - средняя плотность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Для муниципальных районов (городских округов) автономного округа, плотность населения которых выше двукратного аналогичного показателя в среднем по автономному округу, значение Кiпл принимается равным 1;</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10.2. Коэффициент содержания дорог i-го муниципального района (городского округа) </w:t>
      </w:r>
      <w:r w:rsidRPr="00597AE7">
        <w:rPr>
          <w:rFonts w:ascii="Times New Roman" w:eastAsiaTheme="minorEastAsia" w:hAnsi="Times New Roman" w:cs="Times New Roman"/>
          <w:noProof/>
          <w:position w:val="-10"/>
          <w:sz w:val="24"/>
          <w:szCs w:val="24"/>
          <w:lang w:eastAsia="ru-RU"/>
        </w:rPr>
        <w:drawing>
          <wp:inline distT="0" distB="0" distL="0" distR="0" wp14:anchorId="7C2A53B8" wp14:editId="7EDAA1C4">
            <wp:extent cx="514350" cy="28575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143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i/>
          <w:noProof/>
          <w:position w:val="-10"/>
          <w:sz w:val="24"/>
          <w:szCs w:val="24"/>
          <w:lang w:eastAsia="ru-RU"/>
        </w:rPr>
        <w:drawing>
          <wp:inline distT="0" distB="0" distL="0" distR="0" wp14:anchorId="247CDA02" wp14:editId="64C457AA">
            <wp:extent cx="3419475" cy="285750"/>
            <wp:effectExtent l="0" t="0" r="9525"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419475"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ПрД</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протяженность автомобильных дорог общего пользования местного значения, находящихся в собственности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ПрД - протяженность автомобильных дорог общего пользования местного значения, находящихся в собственности муниципальных районов (городских округов)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lastRenderedPageBreak/>
        <w:t>11. Коэффициент приведенной численности обучающихся в общеобразовательных организациях (школах) i-го муниципального района (городского округа) (</w:t>
      </w:r>
      <w:r w:rsidRPr="00597AE7">
        <w:rPr>
          <w:rFonts w:ascii="Times New Roman" w:eastAsiaTheme="minorEastAsia" w:hAnsi="Times New Roman" w:cs="Times New Roman"/>
          <w:noProof/>
          <w:position w:val="-10"/>
          <w:sz w:val="24"/>
          <w:szCs w:val="24"/>
          <w:lang w:eastAsia="ru-RU"/>
        </w:rPr>
        <w:drawing>
          <wp:inline distT="0" distB="0" distL="0" distR="0" wp14:anchorId="5B6405E6" wp14:editId="27432D09">
            <wp:extent cx="409575" cy="285750"/>
            <wp:effectExtent l="0" t="0" r="9525"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0957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57237BFF" wp14:editId="0758DBA7">
            <wp:extent cx="3581400" cy="285750"/>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8140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76EF4C5D" wp14:editId="55517C8D">
            <wp:extent cx="609600" cy="285750"/>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096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приведенная численность обучающихся в общеобразовательных организациях (школах)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12. Приведенная численность обучающихся в общеобразовательных организациях (школах) i-го муниципального района (городского округа) (</w:t>
      </w:r>
      <w:r w:rsidRPr="00597AE7">
        <w:rPr>
          <w:rFonts w:ascii="Times New Roman" w:eastAsiaTheme="minorEastAsia" w:hAnsi="Times New Roman" w:cs="Times New Roman"/>
          <w:noProof/>
          <w:position w:val="-10"/>
          <w:sz w:val="24"/>
          <w:szCs w:val="24"/>
          <w:lang w:eastAsia="ru-RU"/>
        </w:rPr>
        <w:drawing>
          <wp:inline distT="0" distB="0" distL="0" distR="0" wp14:anchorId="3224154D" wp14:editId="2D51E9EA">
            <wp:extent cx="609600" cy="28575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096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3A877FAA" wp14:editId="7B39656F">
            <wp:extent cx="2790825" cy="285750"/>
            <wp:effectExtent l="0" t="0" r="9525"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90825"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63F55ADE" wp14:editId="56ABE71D">
            <wp:extent cx="4114800" cy="28575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11480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1BCE3607" wp14:editId="50FB72FF">
            <wp:extent cx="447675" cy="285750"/>
            <wp:effectExtent l="0" t="0" r="9525"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4767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фактическая численность обучающихся в общеобразовательных организациях (школах) i-го муниципального района (городского округа), согласно отчету о выполнении плана по сети, штатам и контингентам получателей бюджетных средств, состоящих на бюджетах муниципальных образований в отчетном финансовом году;</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59779347" wp14:editId="5B59E12F">
            <wp:extent cx="514350" cy="28575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143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проектная мощность школ i-го муниципального района (городского округа) согласно Санитарно-эпидемиологическим правилам и нормативам.</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13. Коэффициент численности детей в возрасте от 1 года до 6 лет i-го муниципального района (городского округа) (</w:t>
      </w:r>
      <w:r w:rsidRPr="00597AE7">
        <w:rPr>
          <w:rFonts w:ascii="Times New Roman" w:eastAsiaTheme="minorEastAsia" w:hAnsi="Times New Roman" w:cs="Times New Roman"/>
          <w:noProof/>
          <w:position w:val="-10"/>
          <w:sz w:val="24"/>
          <w:szCs w:val="24"/>
          <w:lang w:eastAsia="ru-RU"/>
        </w:rPr>
        <w:drawing>
          <wp:inline distT="0" distB="0" distL="0" distR="0" wp14:anchorId="2220B279" wp14:editId="5B6BA319">
            <wp:extent cx="323850" cy="28575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4B5CD970" wp14:editId="440E71FB">
            <wp:extent cx="2409825" cy="285750"/>
            <wp:effectExtent l="0" t="0" r="9525"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409825"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79379148" wp14:editId="63CD74F6">
            <wp:extent cx="333375" cy="285750"/>
            <wp:effectExtent l="0" t="0" r="9525"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33375"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численность детей в возрасте от 1 года до 6 лет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perscript"/>
          <w:lang w:eastAsia="ru-RU"/>
        </w:rPr>
        <w:t>дс</w:t>
      </w:r>
      <w:r w:rsidRPr="00597AE7">
        <w:rPr>
          <w:rFonts w:ascii="Times New Roman" w:eastAsiaTheme="minorEastAsia" w:hAnsi="Times New Roman" w:cs="Times New Roman"/>
          <w:sz w:val="24"/>
          <w:szCs w:val="24"/>
          <w:lang w:eastAsia="ru-RU"/>
        </w:rPr>
        <w:t xml:space="preserve"> - численность постоянного населения автономного округа в возрасте от 1 года до 6 лет;</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14. Утратил силу с 1 января 2013 года. - Закон ХМАО - Югры от 08.12.2012 N 139-оз.</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lastRenderedPageBreak/>
        <w:t xml:space="preserve">15. Коэффициент дисперсности расселения i-го муниципального района (городского </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округа) (</w:t>
      </w:r>
      <w:r w:rsidRPr="00597AE7">
        <w:rPr>
          <w:rFonts w:ascii="Times New Roman" w:eastAsiaTheme="minorEastAsia" w:hAnsi="Times New Roman" w:cs="Times New Roman"/>
          <w:noProof/>
          <w:position w:val="-10"/>
          <w:sz w:val="24"/>
          <w:szCs w:val="24"/>
          <w:lang w:eastAsia="ru-RU"/>
        </w:rPr>
        <w:drawing>
          <wp:inline distT="0" distB="0" distL="0" distR="0" wp14:anchorId="5C0CDA4E" wp14:editId="741FD37A">
            <wp:extent cx="419100" cy="28575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191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0400D3CE" wp14:editId="2ECA2947">
            <wp:extent cx="3067050" cy="28575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067050" cy="285750"/>
                    </a:xfrm>
                    <a:prstGeom prst="rect">
                      <a:avLst/>
                    </a:prstGeom>
                    <a:noFill/>
                    <a:ln>
                      <a:noFill/>
                    </a:ln>
                  </pic:spPr>
                </pic:pic>
              </a:graphicData>
            </a:graphic>
          </wp:inline>
        </w:drawing>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noProof/>
          <w:position w:val="-10"/>
          <w:sz w:val="24"/>
          <w:szCs w:val="24"/>
          <w:lang w:eastAsia="ru-RU"/>
        </w:rPr>
        <w:drawing>
          <wp:inline distT="0" distB="0" distL="0" distR="0" wp14:anchorId="1C9E5F6A" wp14:editId="02BF1817">
            <wp:extent cx="381000" cy="28575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81000" cy="285750"/>
                    </a:xfrm>
                    <a:prstGeom prst="rect">
                      <a:avLst/>
                    </a:prstGeom>
                    <a:noFill/>
                    <a:ln>
                      <a:noFill/>
                    </a:ln>
                  </pic:spPr>
                </pic:pic>
              </a:graphicData>
            </a:graphic>
          </wp:inline>
        </w:drawing>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 проживающего в населенных пунктах с численностью населения не более 500 человек;</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численность постоянного населения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w:t>
      </w:r>
      <w:r w:rsidRPr="00597AE7">
        <w:rPr>
          <w:rFonts w:ascii="Times New Roman" w:eastAsiaTheme="minorEastAsia" w:hAnsi="Times New Roman" w:cs="Times New Roman"/>
          <w:sz w:val="24"/>
          <w:szCs w:val="24"/>
          <w:vertAlign w:val="superscript"/>
          <w:lang w:eastAsia="ru-RU"/>
        </w:rPr>
        <w:t>500</w:t>
      </w:r>
      <w:r w:rsidRPr="00597AE7">
        <w:rPr>
          <w:rFonts w:ascii="Times New Roman" w:eastAsiaTheme="minorEastAsia" w:hAnsi="Times New Roman" w:cs="Times New Roman"/>
          <w:sz w:val="24"/>
          <w:szCs w:val="24"/>
          <w:lang w:eastAsia="ru-RU"/>
        </w:rPr>
        <w:t xml:space="preserve"> - численность постоянного населения автономного округа, проживающего в населенных пунктах с численностью населения не более 500 человек;</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 - численность постоянного населения автономного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16. Рассчитанные оценки индекса бюджетных расходов используются только для определения уровня расчетной бюджетной обеспеченности муниципальных районов (городских округов) в целях межбюджетного регулирования и не являются планируемыми или рекомендуемыми показателями, определяющими расходы бюджетов муниципальных районов (городских округов).</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outlineLvl w:val="1"/>
        <w:rPr>
          <w:rFonts w:ascii="Times New Roman" w:eastAsiaTheme="minorEastAsia" w:hAnsi="Times New Roman" w:cs="Times New Roman"/>
          <w:b/>
          <w:bCs/>
          <w:sz w:val="24"/>
          <w:szCs w:val="24"/>
          <w:lang w:eastAsia="ru-RU"/>
        </w:rPr>
      </w:pPr>
      <w:r w:rsidRPr="00597AE7">
        <w:rPr>
          <w:rFonts w:ascii="Times New Roman" w:eastAsiaTheme="minorEastAsia" w:hAnsi="Times New Roman" w:cs="Times New Roman"/>
          <w:b/>
          <w:bCs/>
          <w:sz w:val="24"/>
          <w:szCs w:val="24"/>
          <w:lang w:eastAsia="ru-RU"/>
        </w:rPr>
        <w:t>VII. Расчет и установление заменяющих дотации</w:t>
      </w: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597AE7">
        <w:rPr>
          <w:rFonts w:ascii="Times New Roman" w:eastAsiaTheme="minorEastAsia" w:hAnsi="Times New Roman" w:cs="Times New Roman"/>
          <w:b/>
          <w:bCs/>
          <w:sz w:val="24"/>
          <w:szCs w:val="24"/>
          <w:lang w:eastAsia="ru-RU"/>
        </w:rPr>
        <w:t>на выравнивание бюджетной обеспеченности муниципальных</w:t>
      </w: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597AE7">
        <w:rPr>
          <w:rFonts w:ascii="Times New Roman" w:eastAsiaTheme="minorEastAsia" w:hAnsi="Times New Roman" w:cs="Times New Roman"/>
          <w:b/>
          <w:bCs/>
          <w:sz w:val="24"/>
          <w:szCs w:val="24"/>
          <w:lang w:eastAsia="ru-RU"/>
        </w:rPr>
        <w:t>районов (городских округов) дополнительных нормативов</w:t>
      </w: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r w:rsidRPr="00597AE7">
        <w:rPr>
          <w:rFonts w:ascii="Times New Roman" w:eastAsiaTheme="minorEastAsia" w:hAnsi="Times New Roman" w:cs="Times New Roman"/>
          <w:b/>
          <w:bCs/>
          <w:sz w:val="24"/>
          <w:szCs w:val="24"/>
          <w:lang w:eastAsia="ru-RU"/>
        </w:rPr>
        <w:t>отчислений от налога на доходы физических лиц</w:t>
      </w: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(введен </w:t>
      </w:r>
      <w:hyperlink r:id="rId77" w:history="1">
        <w:r w:rsidRPr="00597AE7">
          <w:rPr>
            <w:rFonts w:ascii="Times New Roman" w:eastAsiaTheme="minorEastAsia" w:hAnsi="Times New Roman" w:cs="Times New Roman"/>
            <w:sz w:val="24"/>
            <w:szCs w:val="24"/>
            <w:lang w:eastAsia="ru-RU"/>
          </w:rPr>
          <w:t>Законом</w:t>
        </w:r>
      </w:hyperlink>
      <w:r w:rsidRPr="00597AE7">
        <w:rPr>
          <w:rFonts w:ascii="Times New Roman" w:eastAsiaTheme="minorEastAsia" w:hAnsi="Times New Roman" w:cs="Times New Roman"/>
          <w:sz w:val="24"/>
          <w:szCs w:val="24"/>
          <w:lang w:eastAsia="ru-RU"/>
        </w:rPr>
        <w:t xml:space="preserve"> ХМАО - Югры от 21.11.2019 N 77-оз)</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1. При утверждении бюджета автономного округа на очередной финансовый год и на плановый период по согласованию с представительными органами муниципальных районов (городских округов) дотации на выравнивание бюджетной обеспеченности муниципальных районов (городских округов) могут быть полностью или частично заменены дополнительными нормативами отчислений от налога на доходы физических лиц. Дополнительный норматив отчислений от налога на доходы физических лиц в бюджет i-го муниципального района (городского округа) (Норм</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Норм</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ОД</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КН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x 100%,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ОД</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общий объем дотации на выравнивание бюджетной обеспеченности муниципальных районов (городских округов) i-му муниципальному району (городскому округу) на очередной финансовый год (первый и второй годы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прогноз поступлений по налогу на доходы физических лиц в консолидированный бюджет автономного округа на очередной финансовый год (первый и второй годы планового периода) с территории i-го муниципального района (городского округа).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 xml:space="preserve">2. В случае, если расчетный дополнительный норматив отчислений от налога на доходы физических лиц превышает максимально возможный норматив, определяемый как норматив отчислений от налога на доходы физических лиц, подлежащего в соответствии с </w:t>
      </w:r>
      <w:r w:rsidRPr="00597AE7">
        <w:rPr>
          <w:rFonts w:ascii="Times New Roman" w:eastAsiaTheme="minorEastAsia" w:hAnsi="Times New Roman" w:cs="Times New Roman"/>
          <w:sz w:val="24"/>
          <w:szCs w:val="24"/>
          <w:lang w:eastAsia="ru-RU"/>
        </w:rPr>
        <w:lastRenderedPageBreak/>
        <w:t>требованиями Бюджетного кодекса Российской Федерации, а также настоящего Закона зачислению в бюджет автономного округа, в качестве дополнительного норматива устанавливается максимально возможный норматив.</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Недостающие средства передаются в бюджеты муниципальных районов (городских округов) в форме дотаций на выравнивание бюджетной обеспеченности муниципальных районов (городских округов).</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3. Объем дотации на выравнивание бюджетной обеспеченности i-му муниципальному району (городскому округу) на очередной финансовый год (первый и второй годы планового периода), утверждаемый законом о бюджете автономного округа на очередной финансовый год и на плановый период (Д</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рассчитывается по следующей формуле: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Д</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ОД</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Норм</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x КН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где:</w:t>
      </w: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597AE7" w:rsidRPr="00597AE7" w:rsidRDefault="00597AE7" w:rsidP="00597AE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ОД</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общий объем дотации на выравнивание бюджетной обеспеченности муниципальных районов (городских округов) i-му муниципальному району (городскому округу) на очередной финансовый год (первый и второй годы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Норм</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дополнительный норматив отчислений от налога на доходы физических лиц в бюджет i-го муниципального района (городского округа) на очередной финансовый год (первый и второй годы планового периода);</w:t>
      </w:r>
    </w:p>
    <w:p w:rsidR="00597AE7" w:rsidRPr="00597AE7" w:rsidRDefault="00597AE7" w:rsidP="00597AE7">
      <w:pPr>
        <w:widowControl w:val="0"/>
        <w:autoSpaceDE w:val="0"/>
        <w:autoSpaceDN w:val="0"/>
        <w:adjustRightInd w:val="0"/>
        <w:spacing w:before="240" w:after="0" w:line="240" w:lineRule="auto"/>
        <w:jc w:val="both"/>
        <w:rPr>
          <w:rFonts w:ascii="Times New Roman" w:eastAsiaTheme="minorEastAsia" w:hAnsi="Times New Roman" w:cs="Times New Roman"/>
          <w:sz w:val="24"/>
          <w:szCs w:val="24"/>
          <w:lang w:eastAsia="ru-RU"/>
        </w:rPr>
      </w:pPr>
      <w:r w:rsidRPr="00597AE7">
        <w:rPr>
          <w:rFonts w:ascii="Times New Roman" w:eastAsiaTheme="minorEastAsia" w:hAnsi="Times New Roman" w:cs="Times New Roman"/>
          <w:sz w:val="24"/>
          <w:szCs w:val="24"/>
          <w:lang w:eastAsia="ru-RU"/>
        </w:rPr>
        <w:t>КН</w:t>
      </w:r>
      <w:r w:rsidRPr="00597AE7">
        <w:rPr>
          <w:rFonts w:ascii="Times New Roman" w:eastAsiaTheme="minorEastAsia" w:hAnsi="Times New Roman" w:cs="Times New Roman"/>
          <w:sz w:val="24"/>
          <w:szCs w:val="24"/>
          <w:vertAlign w:val="subscript"/>
          <w:lang w:eastAsia="ru-RU"/>
        </w:rPr>
        <w:t>i</w:t>
      </w:r>
      <w:r w:rsidRPr="00597AE7">
        <w:rPr>
          <w:rFonts w:ascii="Times New Roman" w:eastAsiaTheme="minorEastAsia" w:hAnsi="Times New Roman" w:cs="Times New Roman"/>
          <w:sz w:val="24"/>
          <w:szCs w:val="24"/>
          <w:lang w:eastAsia="ru-RU"/>
        </w:rPr>
        <w:t xml:space="preserve"> - прогноз поступлений по налогу на доходы физических лиц в консолидированный бюджет автономного округа на очередной финансовый год (первый и второй годы планового периода) с территории i-го муниципального района (городского округа).</w:t>
      </w:r>
    </w:p>
    <w:p w:rsidR="00AC6249" w:rsidRPr="00597AE7" w:rsidRDefault="00AC6249" w:rsidP="00597AE7">
      <w:pPr>
        <w:widowControl w:val="0"/>
        <w:autoSpaceDE w:val="0"/>
        <w:autoSpaceDN w:val="0"/>
        <w:adjustRightInd w:val="0"/>
        <w:spacing w:after="0" w:line="240" w:lineRule="auto"/>
        <w:ind w:firstLine="709"/>
        <w:jc w:val="center"/>
        <w:outlineLvl w:val="1"/>
        <w:rPr>
          <w:rFonts w:ascii="Times New Roman" w:hAnsi="Times New Roman" w:cs="Times New Roman"/>
          <w:sz w:val="24"/>
          <w:szCs w:val="24"/>
        </w:rPr>
      </w:pPr>
    </w:p>
    <w:sectPr w:rsidR="00AC6249" w:rsidRPr="00597AE7" w:rsidSect="00202465">
      <w:headerReference w:type="default" r:id="rId78"/>
      <w:pgSz w:w="11906" w:h="16838"/>
      <w:pgMar w:top="1134" w:right="850" w:bottom="1134" w:left="1701" w:header="708" w:footer="708" w:gutter="0"/>
      <w:pgNumType w:start="206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8F6" w:rsidRDefault="00B678F6" w:rsidP="00AE446D">
      <w:pPr>
        <w:spacing w:after="0" w:line="240" w:lineRule="auto"/>
      </w:pPr>
      <w:r>
        <w:separator/>
      </w:r>
    </w:p>
  </w:endnote>
  <w:endnote w:type="continuationSeparator" w:id="0">
    <w:p w:rsidR="00B678F6" w:rsidRDefault="00B678F6" w:rsidP="00AE4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8F6" w:rsidRDefault="00B678F6" w:rsidP="00AE446D">
      <w:pPr>
        <w:spacing w:after="0" w:line="240" w:lineRule="auto"/>
      </w:pPr>
      <w:r>
        <w:separator/>
      </w:r>
    </w:p>
  </w:footnote>
  <w:footnote w:type="continuationSeparator" w:id="0">
    <w:p w:rsidR="00B678F6" w:rsidRDefault="00B678F6" w:rsidP="00AE4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915350917"/>
      <w:docPartObj>
        <w:docPartGallery w:val="Page Numbers (Top of Page)"/>
        <w:docPartUnique/>
      </w:docPartObj>
    </w:sdtPr>
    <w:sdtEndPr/>
    <w:sdtContent>
      <w:p w:rsidR="00B678F6" w:rsidRPr="00A40DB5" w:rsidRDefault="00B678F6">
        <w:pPr>
          <w:pStyle w:val="a6"/>
          <w:jc w:val="right"/>
          <w:rPr>
            <w:sz w:val="24"/>
            <w:szCs w:val="24"/>
          </w:rPr>
        </w:pPr>
        <w:r w:rsidRPr="00A40DB5">
          <w:rPr>
            <w:sz w:val="24"/>
            <w:szCs w:val="24"/>
          </w:rPr>
          <w:fldChar w:fldCharType="begin"/>
        </w:r>
        <w:r w:rsidRPr="00A40DB5">
          <w:rPr>
            <w:sz w:val="24"/>
            <w:szCs w:val="24"/>
          </w:rPr>
          <w:instrText>PAGE   \* MERGEFORMAT</w:instrText>
        </w:r>
        <w:r w:rsidRPr="00A40DB5">
          <w:rPr>
            <w:sz w:val="24"/>
            <w:szCs w:val="24"/>
          </w:rPr>
          <w:fldChar w:fldCharType="separate"/>
        </w:r>
        <w:r w:rsidR="00F60D3C">
          <w:rPr>
            <w:noProof/>
            <w:sz w:val="24"/>
            <w:szCs w:val="24"/>
          </w:rPr>
          <w:t>2066</w:t>
        </w:r>
        <w:r w:rsidRPr="00A40DB5">
          <w:rPr>
            <w:sz w:val="24"/>
            <w:szCs w:val="24"/>
          </w:rPr>
          <w:fldChar w:fldCharType="end"/>
        </w:r>
      </w:p>
    </w:sdtContent>
  </w:sdt>
  <w:p w:rsidR="00B678F6" w:rsidRDefault="00B678F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08F"/>
    <w:multiLevelType w:val="hybridMultilevel"/>
    <w:tmpl w:val="17045044"/>
    <w:lvl w:ilvl="0" w:tplc="499A2C40">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18440D82"/>
    <w:multiLevelType w:val="hybridMultilevel"/>
    <w:tmpl w:val="EE6A02B4"/>
    <w:lvl w:ilvl="0" w:tplc="63369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00B0C7F"/>
    <w:multiLevelType w:val="hybridMultilevel"/>
    <w:tmpl w:val="B9E295DC"/>
    <w:lvl w:ilvl="0" w:tplc="CCAC64C0">
      <w:start w:val="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2A58263F"/>
    <w:multiLevelType w:val="hybridMultilevel"/>
    <w:tmpl w:val="21FAC668"/>
    <w:lvl w:ilvl="0" w:tplc="CBB8E5C6">
      <w:start w:val="1"/>
      <w:numFmt w:val="decimal"/>
      <w:lvlText w:val="%1."/>
      <w:lvlJc w:val="left"/>
      <w:pPr>
        <w:ind w:left="928" w:hanging="360"/>
      </w:pPr>
      <w:rPr>
        <w:rFonts w:ascii="Times New Roman" w:eastAsia="Times New Roman" w:hAnsi="Times New Roman" w:cs="Times New Roman" w:hint="default"/>
        <w:i w:val="0"/>
        <w:noProof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E943840"/>
    <w:multiLevelType w:val="multilevel"/>
    <w:tmpl w:val="E6AE2032"/>
    <w:lvl w:ilvl="0">
      <w:start w:val="2"/>
      <w:numFmt w:val="decimal"/>
      <w:lvlText w:val="%1."/>
      <w:lvlJc w:val="left"/>
      <w:pPr>
        <w:ind w:left="1070" w:hanging="360"/>
      </w:pPr>
      <w:rPr>
        <w:rFonts w:hint="default"/>
      </w:rPr>
    </w:lvl>
    <w:lvl w:ilvl="1">
      <w:start w:val="1"/>
      <w:numFmt w:val="decimal"/>
      <w:isLgl/>
      <w:lvlText w:val="%1.%2."/>
      <w:lvlJc w:val="left"/>
      <w:pPr>
        <w:ind w:left="1430" w:hanging="36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5" w15:restartNumberingAfterBreak="0">
    <w:nsid w:val="65867FD1"/>
    <w:multiLevelType w:val="hybridMultilevel"/>
    <w:tmpl w:val="C7CC6CCA"/>
    <w:lvl w:ilvl="0" w:tplc="5D1A46F6">
      <w:start w:val="1"/>
      <w:numFmt w:val="decimal"/>
      <w:lvlText w:val="%1."/>
      <w:lvlJc w:val="left"/>
      <w:pPr>
        <w:ind w:left="1365" w:hanging="825"/>
      </w:pPr>
      <w:rPr>
        <w:rFonts w:hint="default"/>
        <w:b w:val="0"/>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6C6A7D01"/>
    <w:multiLevelType w:val="multilevel"/>
    <w:tmpl w:val="F97A5E3E"/>
    <w:lvl w:ilvl="0">
      <w:start w:val="1"/>
      <w:numFmt w:val="decimal"/>
      <w:lvlText w:val="%1."/>
      <w:lvlJc w:val="left"/>
      <w:pPr>
        <w:ind w:left="501" w:hanging="360"/>
      </w:pPr>
      <w:rPr>
        <w:rFonts w:hint="default"/>
      </w:rPr>
    </w:lvl>
    <w:lvl w:ilvl="1">
      <w:start w:val="1"/>
      <w:numFmt w:val="decimal"/>
      <w:isLgl/>
      <w:lvlText w:val="%1.%2."/>
      <w:lvlJc w:val="left"/>
      <w:pPr>
        <w:ind w:left="1430" w:hanging="36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7" w15:restartNumberingAfterBreak="0">
    <w:nsid w:val="73AE2C72"/>
    <w:multiLevelType w:val="multilevel"/>
    <w:tmpl w:val="7EB8C92A"/>
    <w:lvl w:ilvl="0">
      <w:start w:val="3"/>
      <w:numFmt w:val="decimal"/>
      <w:lvlText w:val="%1."/>
      <w:lvlJc w:val="left"/>
      <w:pPr>
        <w:ind w:left="1070" w:hanging="360"/>
      </w:pPr>
      <w:rPr>
        <w:rFonts w:hint="default"/>
      </w:rPr>
    </w:lvl>
    <w:lvl w:ilvl="1">
      <w:start w:val="1"/>
      <w:numFmt w:val="decimal"/>
      <w:isLgl/>
      <w:lvlText w:val="%1.%2."/>
      <w:lvlJc w:val="left"/>
      <w:pPr>
        <w:ind w:left="1430" w:hanging="36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8" w15:restartNumberingAfterBreak="0">
    <w:nsid w:val="74360390"/>
    <w:multiLevelType w:val="hybridMultilevel"/>
    <w:tmpl w:val="C74C2236"/>
    <w:lvl w:ilvl="0" w:tplc="865CE5A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76736EAB"/>
    <w:multiLevelType w:val="hybridMultilevel"/>
    <w:tmpl w:val="7D9E8E28"/>
    <w:lvl w:ilvl="0" w:tplc="2522FB20">
      <w:start w:val="4"/>
      <w:numFmt w:val="decimal"/>
      <w:lvlText w:val="%1."/>
      <w:lvlJc w:val="left"/>
      <w:pPr>
        <w:ind w:left="900" w:hanging="360"/>
      </w:pPr>
      <w:rPr>
        <w:rFonts w:ascii="Times New Roman" w:hAnsi="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7C1F0A06"/>
    <w:multiLevelType w:val="hybridMultilevel"/>
    <w:tmpl w:val="0C5EB83E"/>
    <w:lvl w:ilvl="0" w:tplc="CBB8E5C6">
      <w:start w:val="1"/>
      <w:numFmt w:val="decimal"/>
      <w:lvlText w:val="%1."/>
      <w:lvlJc w:val="left"/>
      <w:pPr>
        <w:ind w:left="900" w:hanging="360"/>
      </w:pPr>
      <w:rPr>
        <w:rFonts w:ascii="Times New Roman" w:eastAsia="Times New Roman" w:hAnsi="Times New Roman" w:cs="Times New Roman" w:hint="default"/>
        <w:i w:val="0"/>
        <w:noProof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3"/>
  </w:num>
  <w:num w:numId="3">
    <w:abstractNumId w:val="6"/>
  </w:num>
  <w:num w:numId="4">
    <w:abstractNumId w:val="9"/>
  </w:num>
  <w:num w:numId="5">
    <w:abstractNumId w:val="8"/>
  </w:num>
  <w:num w:numId="6">
    <w:abstractNumId w:val="10"/>
  </w:num>
  <w:num w:numId="7">
    <w:abstractNumId w:val="2"/>
  </w:num>
  <w:num w:numId="8">
    <w:abstractNumId w:val="0"/>
  </w:num>
  <w:num w:numId="9">
    <w:abstractNumId w:val="4"/>
  </w:num>
  <w:num w:numId="10">
    <w:abstractNumId w:val="1"/>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136"/>
    <w:rsid w:val="000004FA"/>
    <w:rsid w:val="00000B89"/>
    <w:rsid w:val="000016D2"/>
    <w:rsid w:val="00003E92"/>
    <w:rsid w:val="000056B5"/>
    <w:rsid w:val="00011207"/>
    <w:rsid w:val="000126E0"/>
    <w:rsid w:val="00013027"/>
    <w:rsid w:val="00015F21"/>
    <w:rsid w:val="000163F6"/>
    <w:rsid w:val="00017811"/>
    <w:rsid w:val="000210DA"/>
    <w:rsid w:val="00021615"/>
    <w:rsid w:val="00022F54"/>
    <w:rsid w:val="0002415A"/>
    <w:rsid w:val="000243F4"/>
    <w:rsid w:val="000265E9"/>
    <w:rsid w:val="00026CA3"/>
    <w:rsid w:val="00032D69"/>
    <w:rsid w:val="0003347E"/>
    <w:rsid w:val="000339EB"/>
    <w:rsid w:val="0003442D"/>
    <w:rsid w:val="00037136"/>
    <w:rsid w:val="00041B0D"/>
    <w:rsid w:val="00042567"/>
    <w:rsid w:val="0004404B"/>
    <w:rsid w:val="00053684"/>
    <w:rsid w:val="0005571E"/>
    <w:rsid w:val="00057785"/>
    <w:rsid w:val="00057BDC"/>
    <w:rsid w:val="000610BE"/>
    <w:rsid w:val="000610CD"/>
    <w:rsid w:val="00061D87"/>
    <w:rsid w:val="000621D3"/>
    <w:rsid w:val="00062E35"/>
    <w:rsid w:val="00063443"/>
    <w:rsid w:val="0006440B"/>
    <w:rsid w:val="00064C02"/>
    <w:rsid w:val="00064FB5"/>
    <w:rsid w:val="00066BFF"/>
    <w:rsid w:val="00067612"/>
    <w:rsid w:val="000677C5"/>
    <w:rsid w:val="000705E8"/>
    <w:rsid w:val="000719FB"/>
    <w:rsid w:val="00074E54"/>
    <w:rsid w:val="00075CBD"/>
    <w:rsid w:val="000765CD"/>
    <w:rsid w:val="00077F8E"/>
    <w:rsid w:val="00080AED"/>
    <w:rsid w:val="00085459"/>
    <w:rsid w:val="00085AA9"/>
    <w:rsid w:val="00085B9E"/>
    <w:rsid w:val="000869EB"/>
    <w:rsid w:val="0009400F"/>
    <w:rsid w:val="00095621"/>
    <w:rsid w:val="00095BEA"/>
    <w:rsid w:val="00096311"/>
    <w:rsid w:val="000971D5"/>
    <w:rsid w:val="000978F3"/>
    <w:rsid w:val="000A027F"/>
    <w:rsid w:val="000A1FDE"/>
    <w:rsid w:val="000A290B"/>
    <w:rsid w:val="000A3B72"/>
    <w:rsid w:val="000B125E"/>
    <w:rsid w:val="000B14B0"/>
    <w:rsid w:val="000B5530"/>
    <w:rsid w:val="000C1299"/>
    <w:rsid w:val="000C15BA"/>
    <w:rsid w:val="000C212E"/>
    <w:rsid w:val="000C253F"/>
    <w:rsid w:val="000C4EC7"/>
    <w:rsid w:val="000C5019"/>
    <w:rsid w:val="000C5397"/>
    <w:rsid w:val="000D33E4"/>
    <w:rsid w:val="000D3D0F"/>
    <w:rsid w:val="000E0269"/>
    <w:rsid w:val="000E0EB9"/>
    <w:rsid w:val="000E40DD"/>
    <w:rsid w:val="000E58AD"/>
    <w:rsid w:val="000E65A6"/>
    <w:rsid w:val="000E6872"/>
    <w:rsid w:val="000F093E"/>
    <w:rsid w:val="000F201B"/>
    <w:rsid w:val="000F2259"/>
    <w:rsid w:val="000F2B86"/>
    <w:rsid w:val="000F32AD"/>
    <w:rsid w:val="000F6052"/>
    <w:rsid w:val="0010147B"/>
    <w:rsid w:val="001021EA"/>
    <w:rsid w:val="001043AE"/>
    <w:rsid w:val="00107E1B"/>
    <w:rsid w:val="00111C2A"/>
    <w:rsid w:val="00114E9D"/>
    <w:rsid w:val="0012012F"/>
    <w:rsid w:val="00120E6F"/>
    <w:rsid w:val="00126DE2"/>
    <w:rsid w:val="001310E2"/>
    <w:rsid w:val="00133868"/>
    <w:rsid w:val="0013454D"/>
    <w:rsid w:val="00135C29"/>
    <w:rsid w:val="001372E7"/>
    <w:rsid w:val="001408C5"/>
    <w:rsid w:val="00141ABF"/>
    <w:rsid w:val="00144049"/>
    <w:rsid w:val="001449A5"/>
    <w:rsid w:val="0014790B"/>
    <w:rsid w:val="001531FD"/>
    <w:rsid w:val="00153548"/>
    <w:rsid w:val="00153B6A"/>
    <w:rsid w:val="00154611"/>
    <w:rsid w:val="00156E37"/>
    <w:rsid w:val="001610E4"/>
    <w:rsid w:val="00161E45"/>
    <w:rsid w:val="00162F80"/>
    <w:rsid w:val="001646B4"/>
    <w:rsid w:val="00164C74"/>
    <w:rsid w:val="00171912"/>
    <w:rsid w:val="00171FBD"/>
    <w:rsid w:val="0017220D"/>
    <w:rsid w:val="00173255"/>
    <w:rsid w:val="00174CDB"/>
    <w:rsid w:val="0017723E"/>
    <w:rsid w:val="00177B11"/>
    <w:rsid w:val="001806B1"/>
    <w:rsid w:val="001806ED"/>
    <w:rsid w:val="00180CCF"/>
    <w:rsid w:val="00181D95"/>
    <w:rsid w:val="00182A63"/>
    <w:rsid w:val="00184575"/>
    <w:rsid w:val="00184971"/>
    <w:rsid w:val="00186219"/>
    <w:rsid w:val="0018722C"/>
    <w:rsid w:val="001908BA"/>
    <w:rsid w:val="00191A27"/>
    <w:rsid w:val="00192151"/>
    <w:rsid w:val="00192EEA"/>
    <w:rsid w:val="00193132"/>
    <w:rsid w:val="001A3E87"/>
    <w:rsid w:val="001A4945"/>
    <w:rsid w:val="001B0D81"/>
    <w:rsid w:val="001B29E1"/>
    <w:rsid w:val="001B4EB0"/>
    <w:rsid w:val="001B75DD"/>
    <w:rsid w:val="001B7B21"/>
    <w:rsid w:val="001C220C"/>
    <w:rsid w:val="001C2499"/>
    <w:rsid w:val="001C3756"/>
    <w:rsid w:val="001C5B95"/>
    <w:rsid w:val="001C65AF"/>
    <w:rsid w:val="001C7D31"/>
    <w:rsid w:val="001D2987"/>
    <w:rsid w:val="001D4867"/>
    <w:rsid w:val="001D5405"/>
    <w:rsid w:val="001D6CC1"/>
    <w:rsid w:val="001D7D26"/>
    <w:rsid w:val="001E2AFB"/>
    <w:rsid w:val="001E3A45"/>
    <w:rsid w:val="001E3D40"/>
    <w:rsid w:val="001E3E01"/>
    <w:rsid w:val="001E43C7"/>
    <w:rsid w:val="001F25E9"/>
    <w:rsid w:val="001F4392"/>
    <w:rsid w:val="001F4CEF"/>
    <w:rsid w:val="001F5E79"/>
    <w:rsid w:val="00202465"/>
    <w:rsid w:val="00207331"/>
    <w:rsid w:val="002078C4"/>
    <w:rsid w:val="00207B00"/>
    <w:rsid w:val="00210506"/>
    <w:rsid w:val="002109D4"/>
    <w:rsid w:val="00211114"/>
    <w:rsid w:val="00211498"/>
    <w:rsid w:val="002135A2"/>
    <w:rsid w:val="00214C0B"/>
    <w:rsid w:val="00215596"/>
    <w:rsid w:val="002155C5"/>
    <w:rsid w:val="00216557"/>
    <w:rsid w:val="002211BB"/>
    <w:rsid w:val="002236CD"/>
    <w:rsid w:val="002242FB"/>
    <w:rsid w:val="00230923"/>
    <w:rsid w:val="002367BD"/>
    <w:rsid w:val="00240313"/>
    <w:rsid w:val="0024117C"/>
    <w:rsid w:val="00242EE6"/>
    <w:rsid w:val="00244969"/>
    <w:rsid w:val="00244DA6"/>
    <w:rsid w:val="00250017"/>
    <w:rsid w:val="0025148A"/>
    <w:rsid w:val="002521CC"/>
    <w:rsid w:val="0025515F"/>
    <w:rsid w:val="002573D9"/>
    <w:rsid w:val="0026104E"/>
    <w:rsid w:val="002664EE"/>
    <w:rsid w:val="00267503"/>
    <w:rsid w:val="00267F67"/>
    <w:rsid w:val="002719BD"/>
    <w:rsid w:val="0027202F"/>
    <w:rsid w:val="002751D5"/>
    <w:rsid w:val="002804C4"/>
    <w:rsid w:val="0028332B"/>
    <w:rsid w:val="00283F56"/>
    <w:rsid w:val="00284D4B"/>
    <w:rsid w:val="00285D24"/>
    <w:rsid w:val="002927D1"/>
    <w:rsid w:val="00293E79"/>
    <w:rsid w:val="00294157"/>
    <w:rsid w:val="002979F7"/>
    <w:rsid w:val="00297E3D"/>
    <w:rsid w:val="002A122C"/>
    <w:rsid w:val="002A1D65"/>
    <w:rsid w:val="002A4A14"/>
    <w:rsid w:val="002A4DFB"/>
    <w:rsid w:val="002B094C"/>
    <w:rsid w:val="002B310E"/>
    <w:rsid w:val="002C0004"/>
    <w:rsid w:val="002C08A3"/>
    <w:rsid w:val="002C0B92"/>
    <w:rsid w:val="002C2BFB"/>
    <w:rsid w:val="002C3E36"/>
    <w:rsid w:val="002C46B8"/>
    <w:rsid w:val="002D3228"/>
    <w:rsid w:val="002D3522"/>
    <w:rsid w:val="002D5692"/>
    <w:rsid w:val="002D6F8F"/>
    <w:rsid w:val="002E0B99"/>
    <w:rsid w:val="002E14DA"/>
    <w:rsid w:val="002E36C0"/>
    <w:rsid w:val="002E4243"/>
    <w:rsid w:val="002E4EBD"/>
    <w:rsid w:val="002E565B"/>
    <w:rsid w:val="002E68EA"/>
    <w:rsid w:val="002F57B8"/>
    <w:rsid w:val="003004CD"/>
    <w:rsid w:val="00301AA4"/>
    <w:rsid w:val="00304A30"/>
    <w:rsid w:val="00306360"/>
    <w:rsid w:val="00311976"/>
    <w:rsid w:val="00311EBF"/>
    <w:rsid w:val="0031400A"/>
    <w:rsid w:val="00321BDF"/>
    <w:rsid w:val="00323DBC"/>
    <w:rsid w:val="00327491"/>
    <w:rsid w:val="00327B72"/>
    <w:rsid w:val="00330170"/>
    <w:rsid w:val="003317EF"/>
    <w:rsid w:val="00332072"/>
    <w:rsid w:val="00334E82"/>
    <w:rsid w:val="003354F9"/>
    <w:rsid w:val="003407DB"/>
    <w:rsid w:val="00344E4B"/>
    <w:rsid w:val="00346198"/>
    <w:rsid w:val="00347FB2"/>
    <w:rsid w:val="00350A27"/>
    <w:rsid w:val="00352C98"/>
    <w:rsid w:val="00356526"/>
    <w:rsid w:val="00360EC3"/>
    <w:rsid w:val="00362546"/>
    <w:rsid w:val="00364069"/>
    <w:rsid w:val="00364257"/>
    <w:rsid w:val="00364668"/>
    <w:rsid w:val="00364F1C"/>
    <w:rsid w:val="00365A06"/>
    <w:rsid w:val="00366BF1"/>
    <w:rsid w:val="00366D24"/>
    <w:rsid w:val="00370E82"/>
    <w:rsid w:val="00371D28"/>
    <w:rsid w:val="00373478"/>
    <w:rsid w:val="0037353F"/>
    <w:rsid w:val="00374FBF"/>
    <w:rsid w:val="00376327"/>
    <w:rsid w:val="003846B3"/>
    <w:rsid w:val="003850A1"/>
    <w:rsid w:val="0038552F"/>
    <w:rsid w:val="00386C38"/>
    <w:rsid w:val="00386F54"/>
    <w:rsid w:val="0038720F"/>
    <w:rsid w:val="003879D7"/>
    <w:rsid w:val="0039244C"/>
    <w:rsid w:val="00394122"/>
    <w:rsid w:val="0039511C"/>
    <w:rsid w:val="00396037"/>
    <w:rsid w:val="003A20D8"/>
    <w:rsid w:val="003A24A4"/>
    <w:rsid w:val="003A4E27"/>
    <w:rsid w:val="003A53FE"/>
    <w:rsid w:val="003A5EC0"/>
    <w:rsid w:val="003A6CC5"/>
    <w:rsid w:val="003A78CC"/>
    <w:rsid w:val="003A7AD3"/>
    <w:rsid w:val="003A7ED9"/>
    <w:rsid w:val="003B0900"/>
    <w:rsid w:val="003B1856"/>
    <w:rsid w:val="003B3773"/>
    <w:rsid w:val="003B49ED"/>
    <w:rsid w:val="003C29C4"/>
    <w:rsid w:val="003C2B16"/>
    <w:rsid w:val="003C2C93"/>
    <w:rsid w:val="003C30CE"/>
    <w:rsid w:val="003C3B0E"/>
    <w:rsid w:val="003C59F3"/>
    <w:rsid w:val="003D0B06"/>
    <w:rsid w:val="003D2F14"/>
    <w:rsid w:val="003D40DF"/>
    <w:rsid w:val="003D5495"/>
    <w:rsid w:val="003D6D92"/>
    <w:rsid w:val="003E0742"/>
    <w:rsid w:val="003E5AE4"/>
    <w:rsid w:val="003E7EB8"/>
    <w:rsid w:val="003F141F"/>
    <w:rsid w:val="003F43A3"/>
    <w:rsid w:val="003F4B41"/>
    <w:rsid w:val="00402E54"/>
    <w:rsid w:val="00403B6A"/>
    <w:rsid w:val="004102AF"/>
    <w:rsid w:val="00411193"/>
    <w:rsid w:val="0041221B"/>
    <w:rsid w:val="00413DD6"/>
    <w:rsid w:val="00415175"/>
    <w:rsid w:val="004168A6"/>
    <w:rsid w:val="00420263"/>
    <w:rsid w:val="00421214"/>
    <w:rsid w:val="004217B0"/>
    <w:rsid w:val="00424713"/>
    <w:rsid w:val="00430A00"/>
    <w:rsid w:val="00433BAA"/>
    <w:rsid w:val="00433EE8"/>
    <w:rsid w:val="00434110"/>
    <w:rsid w:val="00434E5B"/>
    <w:rsid w:val="00435844"/>
    <w:rsid w:val="00435858"/>
    <w:rsid w:val="004367BC"/>
    <w:rsid w:val="00436AB4"/>
    <w:rsid w:val="00440712"/>
    <w:rsid w:val="00440BD7"/>
    <w:rsid w:val="004427E9"/>
    <w:rsid w:val="004432CD"/>
    <w:rsid w:val="0044465F"/>
    <w:rsid w:val="00444B4B"/>
    <w:rsid w:val="004479A7"/>
    <w:rsid w:val="00450278"/>
    <w:rsid w:val="00451527"/>
    <w:rsid w:val="004518EF"/>
    <w:rsid w:val="00452616"/>
    <w:rsid w:val="004530EE"/>
    <w:rsid w:val="004534D1"/>
    <w:rsid w:val="00455112"/>
    <w:rsid w:val="00455BDA"/>
    <w:rsid w:val="00457941"/>
    <w:rsid w:val="004604F9"/>
    <w:rsid w:val="00461168"/>
    <w:rsid w:val="00463B34"/>
    <w:rsid w:val="00464E3C"/>
    <w:rsid w:val="00465F2F"/>
    <w:rsid w:val="00465FF4"/>
    <w:rsid w:val="00466105"/>
    <w:rsid w:val="004661AD"/>
    <w:rsid w:val="004667ED"/>
    <w:rsid w:val="00466C7A"/>
    <w:rsid w:val="0047083B"/>
    <w:rsid w:val="004711EB"/>
    <w:rsid w:val="0047403D"/>
    <w:rsid w:val="00475DA3"/>
    <w:rsid w:val="0047627D"/>
    <w:rsid w:val="00480B99"/>
    <w:rsid w:val="00482549"/>
    <w:rsid w:val="00482AD8"/>
    <w:rsid w:val="004864DA"/>
    <w:rsid w:val="004920FD"/>
    <w:rsid w:val="00493C95"/>
    <w:rsid w:val="00494A00"/>
    <w:rsid w:val="004965E6"/>
    <w:rsid w:val="004A31C4"/>
    <w:rsid w:val="004A3BC3"/>
    <w:rsid w:val="004A3BFE"/>
    <w:rsid w:val="004A478A"/>
    <w:rsid w:val="004A5BB9"/>
    <w:rsid w:val="004A5DA7"/>
    <w:rsid w:val="004B1E97"/>
    <w:rsid w:val="004B3F59"/>
    <w:rsid w:val="004B4959"/>
    <w:rsid w:val="004B4D40"/>
    <w:rsid w:val="004B51E1"/>
    <w:rsid w:val="004B5294"/>
    <w:rsid w:val="004B64F9"/>
    <w:rsid w:val="004C075E"/>
    <w:rsid w:val="004C0B1A"/>
    <w:rsid w:val="004C0BA1"/>
    <w:rsid w:val="004C0E7C"/>
    <w:rsid w:val="004C13A7"/>
    <w:rsid w:val="004C7406"/>
    <w:rsid w:val="004C75D1"/>
    <w:rsid w:val="004C7686"/>
    <w:rsid w:val="004C79C3"/>
    <w:rsid w:val="004C7AC3"/>
    <w:rsid w:val="004D0A2C"/>
    <w:rsid w:val="004D281D"/>
    <w:rsid w:val="004D4AC0"/>
    <w:rsid w:val="004E0847"/>
    <w:rsid w:val="004E09A9"/>
    <w:rsid w:val="004E17ED"/>
    <w:rsid w:val="004E5098"/>
    <w:rsid w:val="004F0730"/>
    <w:rsid w:val="004F2388"/>
    <w:rsid w:val="004F41CD"/>
    <w:rsid w:val="004F5BD0"/>
    <w:rsid w:val="004F7038"/>
    <w:rsid w:val="004F7587"/>
    <w:rsid w:val="0050337A"/>
    <w:rsid w:val="00505C4A"/>
    <w:rsid w:val="00506798"/>
    <w:rsid w:val="0050772E"/>
    <w:rsid w:val="005130A1"/>
    <w:rsid w:val="005139E8"/>
    <w:rsid w:val="00513DCF"/>
    <w:rsid w:val="005145A6"/>
    <w:rsid w:val="005147A3"/>
    <w:rsid w:val="005168D8"/>
    <w:rsid w:val="005212FA"/>
    <w:rsid w:val="00525749"/>
    <w:rsid w:val="005268AD"/>
    <w:rsid w:val="0052708B"/>
    <w:rsid w:val="00530725"/>
    <w:rsid w:val="005331B8"/>
    <w:rsid w:val="0053378C"/>
    <w:rsid w:val="00534D01"/>
    <w:rsid w:val="00534D71"/>
    <w:rsid w:val="00541867"/>
    <w:rsid w:val="00541DD2"/>
    <w:rsid w:val="005427C2"/>
    <w:rsid w:val="005434B3"/>
    <w:rsid w:val="00543D2E"/>
    <w:rsid w:val="005454EB"/>
    <w:rsid w:val="00546B2A"/>
    <w:rsid w:val="00547170"/>
    <w:rsid w:val="00551BA4"/>
    <w:rsid w:val="0055634A"/>
    <w:rsid w:val="00557BA0"/>
    <w:rsid w:val="00560986"/>
    <w:rsid w:val="00561219"/>
    <w:rsid w:val="005619A0"/>
    <w:rsid w:val="00570D30"/>
    <w:rsid w:val="00571040"/>
    <w:rsid w:val="00571AA3"/>
    <w:rsid w:val="005720F0"/>
    <w:rsid w:val="00572888"/>
    <w:rsid w:val="00573B16"/>
    <w:rsid w:val="005766CA"/>
    <w:rsid w:val="00577802"/>
    <w:rsid w:val="00581225"/>
    <w:rsid w:val="005839D4"/>
    <w:rsid w:val="0058578F"/>
    <w:rsid w:val="00594914"/>
    <w:rsid w:val="00597AE7"/>
    <w:rsid w:val="005A1EA0"/>
    <w:rsid w:val="005A3546"/>
    <w:rsid w:val="005A53E8"/>
    <w:rsid w:val="005A5EAA"/>
    <w:rsid w:val="005A650A"/>
    <w:rsid w:val="005A7F4F"/>
    <w:rsid w:val="005B3168"/>
    <w:rsid w:val="005B4CCB"/>
    <w:rsid w:val="005B547D"/>
    <w:rsid w:val="005C0B3D"/>
    <w:rsid w:val="005C235F"/>
    <w:rsid w:val="005C407B"/>
    <w:rsid w:val="005C663D"/>
    <w:rsid w:val="005C6C5D"/>
    <w:rsid w:val="005C78D6"/>
    <w:rsid w:val="005D1187"/>
    <w:rsid w:val="005D200A"/>
    <w:rsid w:val="005E0EF8"/>
    <w:rsid w:val="005E6597"/>
    <w:rsid w:val="005F0264"/>
    <w:rsid w:val="005F2830"/>
    <w:rsid w:val="005F2AE2"/>
    <w:rsid w:val="005F438C"/>
    <w:rsid w:val="005F4631"/>
    <w:rsid w:val="005F7EA0"/>
    <w:rsid w:val="006001E4"/>
    <w:rsid w:val="006019F9"/>
    <w:rsid w:val="006019FD"/>
    <w:rsid w:val="00602C0B"/>
    <w:rsid w:val="00602FB2"/>
    <w:rsid w:val="00603A60"/>
    <w:rsid w:val="00605DA9"/>
    <w:rsid w:val="0060686C"/>
    <w:rsid w:val="006105E3"/>
    <w:rsid w:val="00613209"/>
    <w:rsid w:val="00614688"/>
    <w:rsid w:val="006147FA"/>
    <w:rsid w:val="00616F48"/>
    <w:rsid w:val="006220FE"/>
    <w:rsid w:val="00622ABE"/>
    <w:rsid w:val="00624A77"/>
    <w:rsid w:val="00626A91"/>
    <w:rsid w:val="00626B05"/>
    <w:rsid w:val="006271F2"/>
    <w:rsid w:val="00630DE3"/>
    <w:rsid w:val="0063306A"/>
    <w:rsid w:val="00634200"/>
    <w:rsid w:val="00635A62"/>
    <w:rsid w:val="006362D6"/>
    <w:rsid w:val="00642062"/>
    <w:rsid w:val="006421C6"/>
    <w:rsid w:val="00644ED1"/>
    <w:rsid w:val="00646B08"/>
    <w:rsid w:val="00650554"/>
    <w:rsid w:val="00652EB7"/>
    <w:rsid w:val="00654BCC"/>
    <w:rsid w:val="006553E0"/>
    <w:rsid w:val="00655BD2"/>
    <w:rsid w:val="00657E2F"/>
    <w:rsid w:val="006604C9"/>
    <w:rsid w:val="00660CA5"/>
    <w:rsid w:val="00661367"/>
    <w:rsid w:val="00661F23"/>
    <w:rsid w:val="00665E2C"/>
    <w:rsid w:val="00666E84"/>
    <w:rsid w:val="00666EF4"/>
    <w:rsid w:val="00667627"/>
    <w:rsid w:val="00674825"/>
    <w:rsid w:val="00674E1B"/>
    <w:rsid w:val="0067550A"/>
    <w:rsid w:val="0067632D"/>
    <w:rsid w:val="0068048A"/>
    <w:rsid w:val="006811ED"/>
    <w:rsid w:val="00681A3C"/>
    <w:rsid w:val="006872DF"/>
    <w:rsid w:val="00691154"/>
    <w:rsid w:val="00692E7B"/>
    <w:rsid w:val="0069307A"/>
    <w:rsid w:val="00694472"/>
    <w:rsid w:val="00695A3A"/>
    <w:rsid w:val="00695F77"/>
    <w:rsid w:val="00696227"/>
    <w:rsid w:val="00697557"/>
    <w:rsid w:val="006A25E1"/>
    <w:rsid w:val="006B2B8C"/>
    <w:rsid w:val="006B42C3"/>
    <w:rsid w:val="006B6F2A"/>
    <w:rsid w:val="006C15D2"/>
    <w:rsid w:val="006C2C11"/>
    <w:rsid w:val="006C6634"/>
    <w:rsid w:val="006C783E"/>
    <w:rsid w:val="006D03D8"/>
    <w:rsid w:val="006D0E1B"/>
    <w:rsid w:val="006D49C5"/>
    <w:rsid w:val="006D54B9"/>
    <w:rsid w:val="006D7C02"/>
    <w:rsid w:val="006E0F31"/>
    <w:rsid w:val="006E3121"/>
    <w:rsid w:val="006E317F"/>
    <w:rsid w:val="006E3980"/>
    <w:rsid w:val="006E3997"/>
    <w:rsid w:val="006E3D99"/>
    <w:rsid w:val="006E4121"/>
    <w:rsid w:val="006E50A1"/>
    <w:rsid w:val="006E621D"/>
    <w:rsid w:val="006E7089"/>
    <w:rsid w:val="006E7687"/>
    <w:rsid w:val="006F0579"/>
    <w:rsid w:val="006F0958"/>
    <w:rsid w:val="006F0A9E"/>
    <w:rsid w:val="006F1415"/>
    <w:rsid w:val="006F5B2C"/>
    <w:rsid w:val="006F61D2"/>
    <w:rsid w:val="006F6831"/>
    <w:rsid w:val="00700A64"/>
    <w:rsid w:val="007016EE"/>
    <w:rsid w:val="00703915"/>
    <w:rsid w:val="00703F81"/>
    <w:rsid w:val="00707130"/>
    <w:rsid w:val="007074A7"/>
    <w:rsid w:val="0071088E"/>
    <w:rsid w:val="00710C84"/>
    <w:rsid w:val="007111B8"/>
    <w:rsid w:val="007115E4"/>
    <w:rsid w:val="00716685"/>
    <w:rsid w:val="00716785"/>
    <w:rsid w:val="00717A6E"/>
    <w:rsid w:val="00717C2E"/>
    <w:rsid w:val="00720DAE"/>
    <w:rsid w:val="00721248"/>
    <w:rsid w:val="0072749D"/>
    <w:rsid w:val="00730C60"/>
    <w:rsid w:val="00730E7F"/>
    <w:rsid w:val="00731E8B"/>
    <w:rsid w:val="0073635B"/>
    <w:rsid w:val="00737853"/>
    <w:rsid w:val="00743486"/>
    <w:rsid w:val="0074382A"/>
    <w:rsid w:val="00745D72"/>
    <w:rsid w:val="00747F9B"/>
    <w:rsid w:val="007503ED"/>
    <w:rsid w:val="00750457"/>
    <w:rsid w:val="00752414"/>
    <w:rsid w:val="007534F9"/>
    <w:rsid w:val="00754044"/>
    <w:rsid w:val="007606F3"/>
    <w:rsid w:val="0076140E"/>
    <w:rsid w:val="00761DE6"/>
    <w:rsid w:val="00763019"/>
    <w:rsid w:val="007658A7"/>
    <w:rsid w:val="007679D6"/>
    <w:rsid w:val="007717C1"/>
    <w:rsid w:val="00773BD2"/>
    <w:rsid w:val="007755AB"/>
    <w:rsid w:val="00776E14"/>
    <w:rsid w:val="0077787C"/>
    <w:rsid w:val="007818B2"/>
    <w:rsid w:val="00784B86"/>
    <w:rsid w:val="00786605"/>
    <w:rsid w:val="0078708A"/>
    <w:rsid w:val="007918B8"/>
    <w:rsid w:val="00792162"/>
    <w:rsid w:val="0079230C"/>
    <w:rsid w:val="00797529"/>
    <w:rsid w:val="007A3089"/>
    <w:rsid w:val="007A50DB"/>
    <w:rsid w:val="007A51F8"/>
    <w:rsid w:val="007B1198"/>
    <w:rsid w:val="007B2EA3"/>
    <w:rsid w:val="007B434E"/>
    <w:rsid w:val="007B4EDB"/>
    <w:rsid w:val="007B5EE5"/>
    <w:rsid w:val="007B772E"/>
    <w:rsid w:val="007B7783"/>
    <w:rsid w:val="007B7EE5"/>
    <w:rsid w:val="007C2C66"/>
    <w:rsid w:val="007C44B0"/>
    <w:rsid w:val="007C6AD4"/>
    <w:rsid w:val="007C7D04"/>
    <w:rsid w:val="007D0D88"/>
    <w:rsid w:val="007D2016"/>
    <w:rsid w:val="007D5CB5"/>
    <w:rsid w:val="007E18C1"/>
    <w:rsid w:val="007E1DF4"/>
    <w:rsid w:val="007E207F"/>
    <w:rsid w:val="007E4810"/>
    <w:rsid w:val="007E57F0"/>
    <w:rsid w:val="007F004F"/>
    <w:rsid w:val="007F0872"/>
    <w:rsid w:val="007F0C3A"/>
    <w:rsid w:val="007F624A"/>
    <w:rsid w:val="008022D5"/>
    <w:rsid w:val="00802DC6"/>
    <w:rsid w:val="0080444A"/>
    <w:rsid w:val="00805274"/>
    <w:rsid w:val="00805358"/>
    <w:rsid w:val="0080541F"/>
    <w:rsid w:val="00805B2C"/>
    <w:rsid w:val="00805C29"/>
    <w:rsid w:val="00805FD1"/>
    <w:rsid w:val="00810ED5"/>
    <w:rsid w:val="00812A19"/>
    <w:rsid w:val="00813260"/>
    <w:rsid w:val="00814A4C"/>
    <w:rsid w:val="008163C6"/>
    <w:rsid w:val="0081770D"/>
    <w:rsid w:val="008177D5"/>
    <w:rsid w:val="00820A1F"/>
    <w:rsid w:val="00821A45"/>
    <w:rsid w:val="0082587E"/>
    <w:rsid w:val="00825F78"/>
    <w:rsid w:val="008278C8"/>
    <w:rsid w:val="008279B3"/>
    <w:rsid w:val="0083103F"/>
    <w:rsid w:val="008313AC"/>
    <w:rsid w:val="0083279A"/>
    <w:rsid w:val="00834360"/>
    <w:rsid w:val="00837669"/>
    <w:rsid w:val="00840297"/>
    <w:rsid w:val="008410A8"/>
    <w:rsid w:val="00841728"/>
    <w:rsid w:val="008425A8"/>
    <w:rsid w:val="00842B63"/>
    <w:rsid w:val="00842D82"/>
    <w:rsid w:val="00844E45"/>
    <w:rsid w:val="008519F5"/>
    <w:rsid w:val="0085332E"/>
    <w:rsid w:val="00854322"/>
    <w:rsid w:val="0086163D"/>
    <w:rsid w:val="00861E48"/>
    <w:rsid w:val="00864D9D"/>
    <w:rsid w:val="008660E4"/>
    <w:rsid w:val="00871D7A"/>
    <w:rsid w:val="0087500B"/>
    <w:rsid w:val="0088259F"/>
    <w:rsid w:val="00883CC2"/>
    <w:rsid w:val="008843C2"/>
    <w:rsid w:val="008847D3"/>
    <w:rsid w:val="0088524B"/>
    <w:rsid w:val="00890005"/>
    <w:rsid w:val="00890166"/>
    <w:rsid w:val="00891B1A"/>
    <w:rsid w:val="00893AC0"/>
    <w:rsid w:val="0089797C"/>
    <w:rsid w:val="008A272D"/>
    <w:rsid w:val="008A6425"/>
    <w:rsid w:val="008A7FE1"/>
    <w:rsid w:val="008B1C1F"/>
    <w:rsid w:val="008B3439"/>
    <w:rsid w:val="008B375C"/>
    <w:rsid w:val="008B4AAE"/>
    <w:rsid w:val="008B6383"/>
    <w:rsid w:val="008B7103"/>
    <w:rsid w:val="008C11E7"/>
    <w:rsid w:val="008C1640"/>
    <w:rsid w:val="008C16F1"/>
    <w:rsid w:val="008C781C"/>
    <w:rsid w:val="008C79A5"/>
    <w:rsid w:val="008D12E4"/>
    <w:rsid w:val="008D1C8E"/>
    <w:rsid w:val="008D2197"/>
    <w:rsid w:val="008D28E2"/>
    <w:rsid w:val="008D52E4"/>
    <w:rsid w:val="008D56BE"/>
    <w:rsid w:val="008D65C5"/>
    <w:rsid w:val="008D74DB"/>
    <w:rsid w:val="008E0E3F"/>
    <w:rsid w:val="008E195D"/>
    <w:rsid w:val="008E1BAE"/>
    <w:rsid w:val="008E2B03"/>
    <w:rsid w:val="008E519E"/>
    <w:rsid w:val="008E54BB"/>
    <w:rsid w:val="008E5A28"/>
    <w:rsid w:val="008E67D9"/>
    <w:rsid w:val="008F0E71"/>
    <w:rsid w:val="008F2009"/>
    <w:rsid w:val="008F3EFB"/>
    <w:rsid w:val="008F43BE"/>
    <w:rsid w:val="008F74CC"/>
    <w:rsid w:val="008F7881"/>
    <w:rsid w:val="008F7DAC"/>
    <w:rsid w:val="00901357"/>
    <w:rsid w:val="00901B65"/>
    <w:rsid w:val="00901F05"/>
    <w:rsid w:val="00903AD6"/>
    <w:rsid w:val="00904AF8"/>
    <w:rsid w:val="0090645E"/>
    <w:rsid w:val="00910046"/>
    <w:rsid w:val="009104BF"/>
    <w:rsid w:val="00917BCF"/>
    <w:rsid w:val="00921E50"/>
    <w:rsid w:val="00922425"/>
    <w:rsid w:val="009229C6"/>
    <w:rsid w:val="00934828"/>
    <w:rsid w:val="00935E68"/>
    <w:rsid w:val="009375E2"/>
    <w:rsid w:val="0094144D"/>
    <w:rsid w:val="0094234C"/>
    <w:rsid w:val="00943EE2"/>
    <w:rsid w:val="00945475"/>
    <w:rsid w:val="00947CDA"/>
    <w:rsid w:val="0095083F"/>
    <w:rsid w:val="00951FFC"/>
    <w:rsid w:val="00952252"/>
    <w:rsid w:val="00954783"/>
    <w:rsid w:val="00954B68"/>
    <w:rsid w:val="00955094"/>
    <w:rsid w:val="00956ED3"/>
    <w:rsid w:val="00957C37"/>
    <w:rsid w:val="00960611"/>
    <w:rsid w:val="0096158E"/>
    <w:rsid w:val="00962056"/>
    <w:rsid w:val="0096351D"/>
    <w:rsid w:val="00964D75"/>
    <w:rsid w:val="009663EB"/>
    <w:rsid w:val="009709AC"/>
    <w:rsid w:val="00971F39"/>
    <w:rsid w:val="00972B14"/>
    <w:rsid w:val="00973AF9"/>
    <w:rsid w:val="00975BD5"/>
    <w:rsid w:val="00975CF6"/>
    <w:rsid w:val="0097606A"/>
    <w:rsid w:val="00976DF3"/>
    <w:rsid w:val="0098114C"/>
    <w:rsid w:val="00983494"/>
    <w:rsid w:val="00986BC8"/>
    <w:rsid w:val="00987521"/>
    <w:rsid w:val="0098755E"/>
    <w:rsid w:val="00987677"/>
    <w:rsid w:val="00987C7E"/>
    <w:rsid w:val="009930EE"/>
    <w:rsid w:val="00993C8C"/>
    <w:rsid w:val="0099464A"/>
    <w:rsid w:val="0099714B"/>
    <w:rsid w:val="009A10DF"/>
    <w:rsid w:val="009A177C"/>
    <w:rsid w:val="009A2C7A"/>
    <w:rsid w:val="009A46DC"/>
    <w:rsid w:val="009B2A24"/>
    <w:rsid w:val="009B2E8D"/>
    <w:rsid w:val="009B424E"/>
    <w:rsid w:val="009B4D5B"/>
    <w:rsid w:val="009B62AC"/>
    <w:rsid w:val="009B6BD5"/>
    <w:rsid w:val="009B7915"/>
    <w:rsid w:val="009C11EC"/>
    <w:rsid w:val="009C16A7"/>
    <w:rsid w:val="009C3455"/>
    <w:rsid w:val="009C447D"/>
    <w:rsid w:val="009C62CC"/>
    <w:rsid w:val="009D00DF"/>
    <w:rsid w:val="009D20F8"/>
    <w:rsid w:val="009D4A82"/>
    <w:rsid w:val="009D53B4"/>
    <w:rsid w:val="009D713A"/>
    <w:rsid w:val="009D79BE"/>
    <w:rsid w:val="009D7D76"/>
    <w:rsid w:val="009E1A9E"/>
    <w:rsid w:val="009E214E"/>
    <w:rsid w:val="009E5ABA"/>
    <w:rsid w:val="009E7208"/>
    <w:rsid w:val="009E7E6F"/>
    <w:rsid w:val="009F1CBF"/>
    <w:rsid w:val="009F243B"/>
    <w:rsid w:val="009F45EE"/>
    <w:rsid w:val="009F73F6"/>
    <w:rsid w:val="009F7BBB"/>
    <w:rsid w:val="00A00546"/>
    <w:rsid w:val="00A00FDD"/>
    <w:rsid w:val="00A069EF"/>
    <w:rsid w:val="00A11989"/>
    <w:rsid w:val="00A12D5D"/>
    <w:rsid w:val="00A13646"/>
    <w:rsid w:val="00A1414C"/>
    <w:rsid w:val="00A15CBD"/>
    <w:rsid w:val="00A17912"/>
    <w:rsid w:val="00A179AE"/>
    <w:rsid w:val="00A20E2B"/>
    <w:rsid w:val="00A22BDB"/>
    <w:rsid w:val="00A24613"/>
    <w:rsid w:val="00A263C0"/>
    <w:rsid w:val="00A269F2"/>
    <w:rsid w:val="00A351CE"/>
    <w:rsid w:val="00A371AA"/>
    <w:rsid w:val="00A40DB5"/>
    <w:rsid w:val="00A43BB8"/>
    <w:rsid w:val="00A46484"/>
    <w:rsid w:val="00A469AD"/>
    <w:rsid w:val="00A4723D"/>
    <w:rsid w:val="00A52EA6"/>
    <w:rsid w:val="00A566C9"/>
    <w:rsid w:val="00A63986"/>
    <w:rsid w:val="00A65961"/>
    <w:rsid w:val="00A672FB"/>
    <w:rsid w:val="00A71697"/>
    <w:rsid w:val="00A72C60"/>
    <w:rsid w:val="00A73FFD"/>
    <w:rsid w:val="00A74AE9"/>
    <w:rsid w:val="00A75CF9"/>
    <w:rsid w:val="00A75EED"/>
    <w:rsid w:val="00A77D14"/>
    <w:rsid w:val="00A80EB6"/>
    <w:rsid w:val="00A83B70"/>
    <w:rsid w:val="00A8489B"/>
    <w:rsid w:val="00A86E01"/>
    <w:rsid w:val="00A86F4A"/>
    <w:rsid w:val="00A90C63"/>
    <w:rsid w:val="00A90E6F"/>
    <w:rsid w:val="00A94040"/>
    <w:rsid w:val="00A964AB"/>
    <w:rsid w:val="00A964AD"/>
    <w:rsid w:val="00A97400"/>
    <w:rsid w:val="00AA1B48"/>
    <w:rsid w:val="00AA4C0E"/>
    <w:rsid w:val="00AA7628"/>
    <w:rsid w:val="00AA788B"/>
    <w:rsid w:val="00AB34D9"/>
    <w:rsid w:val="00AB481D"/>
    <w:rsid w:val="00AB53A6"/>
    <w:rsid w:val="00AC19C5"/>
    <w:rsid w:val="00AC22D4"/>
    <w:rsid w:val="00AC4336"/>
    <w:rsid w:val="00AC527C"/>
    <w:rsid w:val="00AC5543"/>
    <w:rsid w:val="00AC6249"/>
    <w:rsid w:val="00AD0722"/>
    <w:rsid w:val="00AD36B5"/>
    <w:rsid w:val="00AD45C3"/>
    <w:rsid w:val="00AD4E06"/>
    <w:rsid w:val="00AD7C79"/>
    <w:rsid w:val="00AE04C9"/>
    <w:rsid w:val="00AE19D3"/>
    <w:rsid w:val="00AE1AD2"/>
    <w:rsid w:val="00AE3F5E"/>
    <w:rsid w:val="00AE446D"/>
    <w:rsid w:val="00AE4892"/>
    <w:rsid w:val="00AE749A"/>
    <w:rsid w:val="00AF1922"/>
    <w:rsid w:val="00AF1BC3"/>
    <w:rsid w:val="00AF2F27"/>
    <w:rsid w:val="00AF3D90"/>
    <w:rsid w:val="00AF56F7"/>
    <w:rsid w:val="00AF5874"/>
    <w:rsid w:val="00AF61CD"/>
    <w:rsid w:val="00AF63FD"/>
    <w:rsid w:val="00B06011"/>
    <w:rsid w:val="00B06404"/>
    <w:rsid w:val="00B07D35"/>
    <w:rsid w:val="00B10203"/>
    <w:rsid w:val="00B10FE7"/>
    <w:rsid w:val="00B12DDC"/>
    <w:rsid w:val="00B1399E"/>
    <w:rsid w:val="00B15F6B"/>
    <w:rsid w:val="00B16293"/>
    <w:rsid w:val="00B16ADF"/>
    <w:rsid w:val="00B17255"/>
    <w:rsid w:val="00B22596"/>
    <w:rsid w:val="00B2278F"/>
    <w:rsid w:val="00B229FC"/>
    <w:rsid w:val="00B24BCD"/>
    <w:rsid w:val="00B32850"/>
    <w:rsid w:val="00B33B42"/>
    <w:rsid w:val="00B37286"/>
    <w:rsid w:val="00B4161E"/>
    <w:rsid w:val="00B42BA7"/>
    <w:rsid w:val="00B42F77"/>
    <w:rsid w:val="00B43CE6"/>
    <w:rsid w:val="00B4484D"/>
    <w:rsid w:val="00B46620"/>
    <w:rsid w:val="00B506E9"/>
    <w:rsid w:val="00B52936"/>
    <w:rsid w:val="00B53312"/>
    <w:rsid w:val="00B61702"/>
    <w:rsid w:val="00B62251"/>
    <w:rsid w:val="00B64E31"/>
    <w:rsid w:val="00B65686"/>
    <w:rsid w:val="00B678F5"/>
    <w:rsid w:val="00B678F6"/>
    <w:rsid w:val="00B67B64"/>
    <w:rsid w:val="00B70BCD"/>
    <w:rsid w:val="00B710B3"/>
    <w:rsid w:val="00B72194"/>
    <w:rsid w:val="00B74EEE"/>
    <w:rsid w:val="00B74F47"/>
    <w:rsid w:val="00B759D2"/>
    <w:rsid w:val="00B75FDB"/>
    <w:rsid w:val="00B7614E"/>
    <w:rsid w:val="00B77EE2"/>
    <w:rsid w:val="00B80608"/>
    <w:rsid w:val="00B814EC"/>
    <w:rsid w:val="00B833DC"/>
    <w:rsid w:val="00B84527"/>
    <w:rsid w:val="00B84CC5"/>
    <w:rsid w:val="00B85253"/>
    <w:rsid w:val="00B86116"/>
    <w:rsid w:val="00B862FA"/>
    <w:rsid w:val="00B86C0A"/>
    <w:rsid w:val="00B86E71"/>
    <w:rsid w:val="00B91767"/>
    <w:rsid w:val="00B91A67"/>
    <w:rsid w:val="00B937DC"/>
    <w:rsid w:val="00B9522B"/>
    <w:rsid w:val="00B96EA9"/>
    <w:rsid w:val="00B97A4A"/>
    <w:rsid w:val="00BA11F1"/>
    <w:rsid w:val="00BA2189"/>
    <w:rsid w:val="00BA23DC"/>
    <w:rsid w:val="00BA4541"/>
    <w:rsid w:val="00BA45A3"/>
    <w:rsid w:val="00BA5634"/>
    <w:rsid w:val="00BA6342"/>
    <w:rsid w:val="00BB1F34"/>
    <w:rsid w:val="00BB2B75"/>
    <w:rsid w:val="00BB317A"/>
    <w:rsid w:val="00BB4B33"/>
    <w:rsid w:val="00BB4C44"/>
    <w:rsid w:val="00BB78A4"/>
    <w:rsid w:val="00BC2891"/>
    <w:rsid w:val="00BC2DBE"/>
    <w:rsid w:val="00BC3918"/>
    <w:rsid w:val="00BC3A2E"/>
    <w:rsid w:val="00BC761C"/>
    <w:rsid w:val="00BD084E"/>
    <w:rsid w:val="00BD1003"/>
    <w:rsid w:val="00BD4A82"/>
    <w:rsid w:val="00BD4EEA"/>
    <w:rsid w:val="00BD520D"/>
    <w:rsid w:val="00BD5B3D"/>
    <w:rsid w:val="00BD645F"/>
    <w:rsid w:val="00BD7513"/>
    <w:rsid w:val="00BD7B0D"/>
    <w:rsid w:val="00BE65CD"/>
    <w:rsid w:val="00BE6CE1"/>
    <w:rsid w:val="00BE7495"/>
    <w:rsid w:val="00BF1A37"/>
    <w:rsid w:val="00BF5B25"/>
    <w:rsid w:val="00BF5F92"/>
    <w:rsid w:val="00BF602E"/>
    <w:rsid w:val="00C00458"/>
    <w:rsid w:val="00C021F4"/>
    <w:rsid w:val="00C02ED2"/>
    <w:rsid w:val="00C053A3"/>
    <w:rsid w:val="00C06640"/>
    <w:rsid w:val="00C150E5"/>
    <w:rsid w:val="00C16771"/>
    <w:rsid w:val="00C16A5C"/>
    <w:rsid w:val="00C2166F"/>
    <w:rsid w:val="00C21D87"/>
    <w:rsid w:val="00C21FCE"/>
    <w:rsid w:val="00C2348E"/>
    <w:rsid w:val="00C23889"/>
    <w:rsid w:val="00C27269"/>
    <w:rsid w:val="00C27328"/>
    <w:rsid w:val="00C30D25"/>
    <w:rsid w:val="00C35AD8"/>
    <w:rsid w:val="00C36F7A"/>
    <w:rsid w:val="00C370C9"/>
    <w:rsid w:val="00C40309"/>
    <w:rsid w:val="00C427CC"/>
    <w:rsid w:val="00C442FB"/>
    <w:rsid w:val="00C44CE8"/>
    <w:rsid w:val="00C4602C"/>
    <w:rsid w:val="00C461BE"/>
    <w:rsid w:val="00C4772C"/>
    <w:rsid w:val="00C47A07"/>
    <w:rsid w:val="00C47CA6"/>
    <w:rsid w:val="00C47CC9"/>
    <w:rsid w:val="00C511DA"/>
    <w:rsid w:val="00C52039"/>
    <w:rsid w:val="00C52541"/>
    <w:rsid w:val="00C52D4B"/>
    <w:rsid w:val="00C54EBC"/>
    <w:rsid w:val="00C5596C"/>
    <w:rsid w:val="00C6281B"/>
    <w:rsid w:val="00C62907"/>
    <w:rsid w:val="00C629BE"/>
    <w:rsid w:val="00C62ADE"/>
    <w:rsid w:val="00C6633F"/>
    <w:rsid w:val="00C66BC3"/>
    <w:rsid w:val="00C67635"/>
    <w:rsid w:val="00C71D5C"/>
    <w:rsid w:val="00C72132"/>
    <w:rsid w:val="00C730DE"/>
    <w:rsid w:val="00C73A50"/>
    <w:rsid w:val="00C74639"/>
    <w:rsid w:val="00C80CB5"/>
    <w:rsid w:val="00C82635"/>
    <w:rsid w:val="00C82F1B"/>
    <w:rsid w:val="00C85B04"/>
    <w:rsid w:val="00C875E8"/>
    <w:rsid w:val="00C8789E"/>
    <w:rsid w:val="00C87DEB"/>
    <w:rsid w:val="00C92193"/>
    <w:rsid w:val="00C9441F"/>
    <w:rsid w:val="00C952AB"/>
    <w:rsid w:val="00CA06CF"/>
    <w:rsid w:val="00CA1F1E"/>
    <w:rsid w:val="00CA3F6A"/>
    <w:rsid w:val="00CA5E49"/>
    <w:rsid w:val="00CA6888"/>
    <w:rsid w:val="00CA7EBA"/>
    <w:rsid w:val="00CB0E66"/>
    <w:rsid w:val="00CB35F5"/>
    <w:rsid w:val="00CB470B"/>
    <w:rsid w:val="00CB4E93"/>
    <w:rsid w:val="00CB58ED"/>
    <w:rsid w:val="00CB63EE"/>
    <w:rsid w:val="00CC1B2A"/>
    <w:rsid w:val="00CC50EA"/>
    <w:rsid w:val="00CC579F"/>
    <w:rsid w:val="00CD17FB"/>
    <w:rsid w:val="00CD258D"/>
    <w:rsid w:val="00CD2D0C"/>
    <w:rsid w:val="00CD3263"/>
    <w:rsid w:val="00CE15D8"/>
    <w:rsid w:val="00CE4F9B"/>
    <w:rsid w:val="00CE704E"/>
    <w:rsid w:val="00CF3628"/>
    <w:rsid w:val="00CF39B4"/>
    <w:rsid w:val="00CF5D42"/>
    <w:rsid w:val="00CF683B"/>
    <w:rsid w:val="00D01583"/>
    <w:rsid w:val="00D02988"/>
    <w:rsid w:val="00D02E5F"/>
    <w:rsid w:val="00D030F2"/>
    <w:rsid w:val="00D05720"/>
    <w:rsid w:val="00D07B00"/>
    <w:rsid w:val="00D10404"/>
    <w:rsid w:val="00D11709"/>
    <w:rsid w:val="00D118B2"/>
    <w:rsid w:val="00D135D4"/>
    <w:rsid w:val="00D15A52"/>
    <w:rsid w:val="00D17362"/>
    <w:rsid w:val="00D206C4"/>
    <w:rsid w:val="00D20971"/>
    <w:rsid w:val="00D219F0"/>
    <w:rsid w:val="00D21D35"/>
    <w:rsid w:val="00D226F2"/>
    <w:rsid w:val="00D24416"/>
    <w:rsid w:val="00D26718"/>
    <w:rsid w:val="00D26841"/>
    <w:rsid w:val="00D269FD"/>
    <w:rsid w:val="00D321B1"/>
    <w:rsid w:val="00D3399A"/>
    <w:rsid w:val="00D3552F"/>
    <w:rsid w:val="00D35B5B"/>
    <w:rsid w:val="00D456A0"/>
    <w:rsid w:val="00D46C36"/>
    <w:rsid w:val="00D474FE"/>
    <w:rsid w:val="00D5247E"/>
    <w:rsid w:val="00D534EB"/>
    <w:rsid w:val="00D56958"/>
    <w:rsid w:val="00D57353"/>
    <w:rsid w:val="00D576B4"/>
    <w:rsid w:val="00D60D63"/>
    <w:rsid w:val="00D6537B"/>
    <w:rsid w:val="00D65678"/>
    <w:rsid w:val="00D66671"/>
    <w:rsid w:val="00D67F53"/>
    <w:rsid w:val="00D71052"/>
    <w:rsid w:val="00D716EB"/>
    <w:rsid w:val="00D76DF6"/>
    <w:rsid w:val="00D81FCB"/>
    <w:rsid w:val="00D821E0"/>
    <w:rsid w:val="00D91E62"/>
    <w:rsid w:val="00D926DC"/>
    <w:rsid w:val="00D92C16"/>
    <w:rsid w:val="00D96F06"/>
    <w:rsid w:val="00D97C05"/>
    <w:rsid w:val="00DA198E"/>
    <w:rsid w:val="00DA252B"/>
    <w:rsid w:val="00DA2A73"/>
    <w:rsid w:val="00DA436F"/>
    <w:rsid w:val="00DA4523"/>
    <w:rsid w:val="00DA5264"/>
    <w:rsid w:val="00DA7C06"/>
    <w:rsid w:val="00DB0722"/>
    <w:rsid w:val="00DB322F"/>
    <w:rsid w:val="00DB3CDB"/>
    <w:rsid w:val="00DB5048"/>
    <w:rsid w:val="00DB5419"/>
    <w:rsid w:val="00DB5F05"/>
    <w:rsid w:val="00DC3BD3"/>
    <w:rsid w:val="00DC4133"/>
    <w:rsid w:val="00DC5A74"/>
    <w:rsid w:val="00DD04EB"/>
    <w:rsid w:val="00DD3083"/>
    <w:rsid w:val="00DD49AE"/>
    <w:rsid w:val="00DD5672"/>
    <w:rsid w:val="00DD587D"/>
    <w:rsid w:val="00DD6D1F"/>
    <w:rsid w:val="00DE78BB"/>
    <w:rsid w:val="00DE7E57"/>
    <w:rsid w:val="00DF233A"/>
    <w:rsid w:val="00DF53DB"/>
    <w:rsid w:val="00DF62A9"/>
    <w:rsid w:val="00DF728B"/>
    <w:rsid w:val="00E00196"/>
    <w:rsid w:val="00E00619"/>
    <w:rsid w:val="00E00D83"/>
    <w:rsid w:val="00E01E4E"/>
    <w:rsid w:val="00E03C30"/>
    <w:rsid w:val="00E0474B"/>
    <w:rsid w:val="00E04ED4"/>
    <w:rsid w:val="00E073DE"/>
    <w:rsid w:val="00E13438"/>
    <w:rsid w:val="00E1379D"/>
    <w:rsid w:val="00E17BF1"/>
    <w:rsid w:val="00E20EE8"/>
    <w:rsid w:val="00E21425"/>
    <w:rsid w:val="00E22665"/>
    <w:rsid w:val="00E22F67"/>
    <w:rsid w:val="00E23B8D"/>
    <w:rsid w:val="00E259F9"/>
    <w:rsid w:val="00E27ADD"/>
    <w:rsid w:val="00E30F04"/>
    <w:rsid w:val="00E34726"/>
    <w:rsid w:val="00E3655F"/>
    <w:rsid w:val="00E36D91"/>
    <w:rsid w:val="00E40B12"/>
    <w:rsid w:val="00E410D3"/>
    <w:rsid w:val="00E41E38"/>
    <w:rsid w:val="00E4228B"/>
    <w:rsid w:val="00E4271B"/>
    <w:rsid w:val="00E42AB2"/>
    <w:rsid w:val="00E42FC3"/>
    <w:rsid w:val="00E43E38"/>
    <w:rsid w:val="00E4424F"/>
    <w:rsid w:val="00E45B0F"/>
    <w:rsid w:val="00E469EC"/>
    <w:rsid w:val="00E46C32"/>
    <w:rsid w:val="00E506CC"/>
    <w:rsid w:val="00E514F7"/>
    <w:rsid w:val="00E5150C"/>
    <w:rsid w:val="00E522BE"/>
    <w:rsid w:val="00E551F0"/>
    <w:rsid w:val="00E55EFC"/>
    <w:rsid w:val="00E57924"/>
    <w:rsid w:val="00E61440"/>
    <w:rsid w:val="00E6300F"/>
    <w:rsid w:val="00E63D64"/>
    <w:rsid w:val="00E65A1F"/>
    <w:rsid w:val="00E65EC5"/>
    <w:rsid w:val="00E66E45"/>
    <w:rsid w:val="00E671A3"/>
    <w:rsid w:val="00E679AB"/>
    <w:rsid w:val="00E728BA"/>
    <w:rsid w:val="00E7507C"/>
    <w:rsid w:val="00E77A88"/>
    <w:rsid w:val="00E81A8E"/>
    <w:rsid w:val="00E83102"/>
    <w:rsid w:val="00E83540"/>
    <w:rsid w:val="00E8462B"/>
    <w:rsid w:val="00E91B94"/>
    <w:rsid w:val="00E920F8"/>
    <w:rsid w:val="00E94E25"/>
    <w:rsid w:val="00E95A9C"/>
    <w:rsid w:val="00E9721E"/>
    <w:rsid w:val="00E975E7"/>
    <w:rsid w:val="00EA25A6"/>
    <w:rsid w:val="00EA3264"/>
    <w:rsid w:val="00EA400A"/>
    <w:rsid w:val="00EA62CD"/>
    <w:rsid w:val="00EA6E5E"/>
    <w:rsid w:val="00EB0E49"/>
    <w:rsid w:val="00EB2627"/>
    <w:rsid w:val="00EB6823"/>
    <w:rsid w:val="00EB7BDC"/>
    <w:rsid w:val="00EC33FC"/>
    <w:rsid w:val="00EC61E8"/>
    <w:rsid w:val="00EE0648"/>
    <w:rsid w:val="00EE1394"/>
    <w:rsid w:val="00EE20E0"/>
    <w:rsid w:val="00EE2A38"/>
    <w:rsid w:val="00EE3ACD"/>
    <w:rsid w:val="00EE3F97"/>
    <w:rsid w:val="00EE42CB"/>
    <w:rsid w:val="00EE4DA6"/>
    <w:rsid w:val="00EF50D5"/>
    <w:rsid w:val="00EF7039"/>
    <w:rsid w:val="00F00149"/>
    <w:rsid w:val="00F0034A"/>
    <w:rsid w:val="00F03292"/>
    <w:rsid w:val="00F045C5"/>
    <w:rsid w:val="00F063AF"/>
    <w:rsid w:val="00F06825"/>
    <w:rsid w:val="00F07381"/>
    <w:rsid w:val="00F102D8"/>
    <w:rsid w:val="00F108DA"/>
    <w:rsid w:val="00F10966"/>
    <w:rsid w:val="00F1476B"/>
    <w:rsid w:val="00F1489F"/>
    <w:rsid w:val="00F17538"/>
    <w:rsid w:val="00F201EB"/>
    <w:rsid w:val="00F22657"/>
    <w:rsid w:val="00F23FF0"/>
    <w:rsid w:val="00F25C81"/>
    <w:rsid w:val="00F26213"/>
    <w:rsid w:val="00F31F94"/>
    <w:rsid w:val="00F324CB"/>
    <w:rsid w:val="00F32ED0"/>
    <w:rsid w:val="00F3425B"/>
    <w:rsid w:val="00F3455E"/>
    <w:rsid w:val="00F34EDE"/>
    <w:rsid w:val="00F3728F"/>
    <w:rsid w:val="00F40DF3"/>
    <w:rsid w:val="00F4155A"/>
    <w:rsid w:val="00F4203E"/>
    <w:rsid w:val="00F426B3"/>
    <w:rsid w:val="00F43037"/>
    <w:rsid w:val="00F440E9"/>
    <w:rsid w:val="00F4498D"/>
    <w:rsid w:val="00F44DB8"/>
    <w:rsid w:val="00F507AA"/>
    <w:rsid w:val="00F52FD7"/>
    <w:rsid w:val="00F531DF"/>
    <w:rsid w:val="00F5358C"/>
    <w:rsid w:val="00F53AB0"/>
    <w:rsid w:val="00F60D3C"/>
    <w:rsid w:val="00F64FB6"/>
    <w:rsid w:val="00F65233"/>
    <w:rsid w:val="00F65288"/>
    <w:rsid w:val="00F65ED3"/>
    <w:rsid w:val="00F664EF"/>
    <w:rsid w:val="00F66A3D"/>
    <w:rsid w:val="00F70EAB"/>
    <w:rsid w:val="00F74929"/>
    <w:rsid w:val="00F76815"/>
    <w:rsid w:val="00F77125"/>
    <w:rsid w:val="00F801FC"/>
    <w:rsid w:val="00F82D77"/>
    <w:rsid w:val="00F840B0"/>
    <w:rsid w:val="00F84C0B"/>
    <w:rsid w:val="00F85CCF"/>
    <w:rsid w:val="00F87AE6"/>
    <w:rsid w:val="00F87B33"/>
    <w:rsid w:val="00F9396D"/>
    <w:rsid w:val="00F9549F"/>
    <w:rsid w:val="00F955CF"/>
    <w:rsid w:val="00F958FA"/>
    <w:rsid w:val="00F97762"/>
    <w:rsid w:val="00FA32C0"/>
    <w:rsid w:val="00FA3985"/>
    <w:rsid w:val="00FB1C12"/>
    <w:rsid w:val="00FB446D"/>
    <w:rsid w:val="00FB4A21"/>
    <w:rsid w:val="00FB58CD"/>
    <w:rsid w:val="00FB59C6"/>
    <w:rsid w:val="00FB5E1D"/>
    <w:rsid w:val="00FC02CD"/>
    <w:rsid w:val="00FC2AF3"/>
    <w:rsid w:val="00FC3ED5"/>
    <w:rsid w:val="00FC6EA4"/>
    <w:rsid w:val="00FD108A"/>
    <w:rsid w:val="00FD15EC"/>
    <w:rsid w:val="00FD3958"/>
    <w:rsid w:val="00FD580B"/>
    <w:rsid w:val="00FD60EA"/>
    <w:rsid w:val="00FD63DC"/>
    <w:rsid w:val="00FD6E53"/>
    <w:rsid w:val="00FD7630"/>
    <w:rsid w:val="00FE1718"/>
    <w:rsid w:val="00FE4BC2"/>
    <w:rsid w:val="00FE68B1"/>
    <w:rsid w:val="00FE691E"/>
    <w:rsid w:val="00FE6F31"/>
    <w:rsid w:val="00FE7FC5"/>
    <w:rsid w:val="00FF015F"/>
    <w:rsid w:val="00FF05FB"/>
    <w:rsid w:val="00FF1572"/>
    <w:rsid w:val="00FF2986"/>
    <w:rsid w:val="00FF2F08"/>
    <w:rsid w:val="00FF47A1"/>
    <w:rsid w:val="00FF5BE5"/>
    <w:rsid w:val="00FF7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C9CD53-B987-48B5-9E51-A1E75A3E3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B5419"/>
  </w:style>
  <w:style w:type="paragraph" w:customStyle="1" w:styleId="ConsPlusNormal">
    <w:name w:val="ConsPlusNormal"/>
    <w:rsid w:val="00DB541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54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B541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54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541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541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541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541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DB5419"/>
    <w:pPr>
      <w:spacing w:after="0" w:line="240" w:lineRule="auto"/>
      <w:jc w:val="both"/>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DB5419"/>
    <w:rPr>
      <w:rFonts w:ascii="Tahoma" w:eastAsia="Times New Roman" w:hAnsi="Tahoma" w:cs="Tahoma"/>
      <w:sz w:val="16"/>
      <w:szCs w:val="16"/>
      <w:lang w:eastAsia="ru-RU"/>
    </w:rPr>
  </w:style>
  <w:style w:type="character" w:styleId="a5">
    <w:name w:val="Placeholder Text"/>
    <w:basedOn w:val="a0"/>
    <w:uiPriority w:val="99"/>
    <w:semiHidden/>
    <w:rsid w:val="00DB5419"/>
    <w:rPr>
      <w:color w:val="808080"/>
    </w:rPr>
  </w:style>
  <w:style w:type="paragraph" w:styleId="a6">
    <w:name w:val="header"/>
    <w:basedOn w:val="a"/>
    <w:link w:val="a7"/>
    <w:uiPriority w:val="99"/>
    <w:unhideWhenUsed/>
    <w:rsid w:val="00DB5419"/>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7">
    <w:name w:val="Верхний колонтитул Знак"/>
    <w:basedOn w:val="a0"/>
    <w:link w:val="a6"/>
    <w:uiPriority w:val="99"/>
    <w:rsid w:val="00DB5419"/>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DB5419"/>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9">
    <w:name w:val="Нижний колонтитул Знак"/>
    <w:basedOn w:val="a0"/>
    <w:link w:val="a8"/>
    <w:uiPriority w:val="99"/>
    <w:rsid w:val="00DB5419"/>
    <w:rPr>
      <w:rFonts w:ascii="Times New Roman" w:eastAsia="Times New Roman" w:hAnsi="Times New Roman" w:cs="Times New Roman"/>
      <w:sz w:val="28"/>
      <w:szCs w:val="20"/>
      <w:lang w:eastAsia="ru-RU"/>
    </w:rPr>
  </w:style>
  <w:style w:type="paragraph" w:styleId="aa">
    <w:name w:val="List Paragraph"/>
    <w:basedOn w:val="a"/>
    <w:uiPriority w:val="34"/>
    <w:qFormat/>
    <w:rsid w:val="00DB5419"/>
    <w:pPr>
      <w:spacing w:after="0" w:line="360" w:lineRule="atLeast"/>
      <w:ind w:left="720"/>
      <w:contextualSpacing/>
      <w:jc w:val="both"/>
    </w:pPr>
    <w:rPr>
      <w:rFonts w:ascii="Times New Roman" w:eastAsia="Times New Roman" w:hAnsi="Times New Roman" w:cs="Times New Roman"/>
      <w:sz w:val="28"/>
      <w:szCs w:val="20"/>
      <w:lang w:eastAsia="ru-RU"/>
    </w:rPr>
  </w:style>
  <w:style w:type="numbering" w:customStyle="1" w:styleId="2">
    <w:name w:val="Нет списка2"/>
    <w:next w:val="a2"/>
    <w:uiPriority w:val="99"/>
    <w:semiHidden/>
    <w:unhideWhenUsed/>
    <w:rsid w:val="00EF50D5"/>
  </w:style>
  <w:style w:type="character" w:styleId="ab">
    <w:name w:val="Hyperlink"/>
    <w:basedOn w:val="a0"/>
    <w:uiPriority w:val="99"/>
    <w:semiHidden/>
    <w:unhideWhenUsed/>
    <w:rsid w:val="00EF50D5"/>
    <w:rPr>
      <w:color w:val="0563C1" w:themeColor="hyperlink"/>
      <w:u w:val="single"/>
    </w:rPr>
  </w:style>
  <w:style w:type="character" w:styleId="ac">
    <w:name w:val="FollowedHyperlink"/>
    <w:basedOn w:val="a0"/>
    <w:uiPriority w:val="99"/>
    <w:semiHidden/>
    <w:unhideWhenUsed/>
    <w:rsid w:val="00EF50D5"/>
    <w:rPr>
      <w:color w:val="954F72" w:themeColor="followedHyperlink"/>
      <w:u w:val="single"/>
    </w:rPr>
  </w:style>
  <w:style w:type="numbering" w:customStyle="1" w:styleId="3">
    <w:name w:val="Нет списка3"/>
    <w:next w:val="a2"/>
    <w:uiPriority w:val="99"/>
    <w:semiHidden/>
    <w:unhideWhenUsed/>
    <w:rsid w:val="00597A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29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wmf"/><Relationship Id="rId21" Type="http://schemas.openxmlformats.org/officeDocument/2006/relationships/image" Target="media/image15.wmf"/><Relationship Id="rId42" Type="http://schemas.openxmlformats.org/officeDocument/2006/relationships/image" Target="media/image36.wmf"/><Relationship Id="rId47" Type="http://schemas.openxmlformats.org/officeDocument/2006/relationships/image" Target="media/image41.wmf"/><Relationship Id="rId63" Type="http://schemas.openxmlformats.org/officeDocument/2006/relationships/image" Target="media/image57.wmf"/><Relationship Id="rId68" Type="http://schemas.openxmlformats.org/officeDocument/2006/relationships/image" Target="media/image62.wmf"/><Relationship Id="rId16" Type="http://schemas.openxmlformats.org/officeDocument/2006/relationships/image" Target="media/image10.wmf"/><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image" Target="media/image34.wmf"/><Relationship Id="rId45" Type="http://schemas.openxmlformats.org/officeDocument/2006/relationships/image" Target="media/image39.wmf"/><Relationship Id="rId53" Type="http://schemas.openxmlformats.org/officeDocument/2006/relationships/image" Target="media/image47.wmf"/><Relationship Id="rId58" Type="http://schemas.openxmlformats.org/officeDocument/2006/relationships/image" Target="media/image52.wmf"/><Relationship Id="rId66" Type="http://schemas.openxmlformats.org/officeDocument/2006/relationships/image" Target="media/image60.wmf"/><Relationship Id="rId74" Type="http://schemas.openxmlformats.org/officeDocument/2006/relationships/image" Target="media/image68.wmf"/><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55.wmf"/><Relationship Id="rId19" Type="http://schemas.openxmlformats.org/officeDocument/2006/relationships/image" Target="media/image1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 Id="rId43" Type="http://schemas.openxmlformats.org/officeDocument/2006/relationships/image" Target="media/image37.wmf"/><Relationship Id="rId48" Type="http://schemas.openxmlformats.org/officeDocument/2006/relationships/image" Target="media/image42.wmf"/><Relationship Id="rId56" Type="http://schemas.openxmlformats.org/officeDocument/2006/relationships/image" Target="media/image50.wmf"/><Relationship Id="rId64" Type="http://schemas.openxmlformats.org/officeDocument/2006/relationships/image" Target="media/image58.wmf"/><Relationship Id="rId69" Type="http://schemas.openxmlformats.org/officeDocument/2006/relationships/image" Target="media/image63.wmf"/><Relationship Id="rId77" Type="http://schemas.openxmlformats.org/officeDocument/2006/relationships/hyperlink" Target="https://login.consultant.ru/link/?req=doc&amp;base=RLAW926&amp;n=201060&amp;date=06.10.2022&amp;dst=100311&amp;field=134" TargetMode="External"/><Relationship Id="rId8" Type="http://schemas.openxmlformats.org/officeDocument/2006/relationships/image" Target="media/image2.wmf"/><Relationship Id="rId51" Type="http://schemas.openxmlformats.org/officeDocument/2006/relationships/image" Target="media/image45.wmf"/><Relationship Id="rId72" Type="http://schemas.openxmlformats.org/officeDocument/2006/relationships/image" Target="media/image66.wmf"/><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image" Target="media/image40.wmf"/><Relationship Id="rId59" Type="http://schemas.openxmlformats.org/officeDocument/2006/relationships/image" Target="media/image53.wmf"/><Relationship Id="rId67" Type="http://schemas.openxmlformats.org/officeDocument/2006/relationships/image" Target="media/image61.wmf"/><Relationship Id="rId20" Type="http://schemas.openxmlformats.org/officeDocument/2006/relationships/image" Target="media/image14.wmf"/><Relationship Id="rId41" Type="http://schemas.openxmlformats.org/officeDocument/2006/relationships/image" Target="media/image35.wmf"/><Relationship Id="rId54" Type="http://schemas.openxmlformats.org/officeDocument/2006/relationships/image" Target="media/image48.wmf"/><Relationship Id="rId62" Type="http://schemas.openxmlformats.org/officeDocument/2006/relationships/image" Target="media/image56.wmf"/><Relationship Id="rId70" Type="http://schemas.openxmlformats.org/officeDocument/2006/relationships/image" Target="media/image64.wmf"/><Relationship Id="rId75" Type="http://schemas.openxmlformats.org/officeDocument/2006/relationships/image" Target="media/image69.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49" Type="http://schemas.openxmlformats.org/officeDocument/2006/relationships/image" Target="media/image43.wmf"/><Relationship Id="rId57" Type="http://schemas.openxmlformats.org/officeDocument/2006/relationships/image" Target="media/image51.wmf"/><Relationship Id="rId10" Type="http://schemas.openxmlformats.org/officeDocument/2006/relationships/image" Target="media/image4.wmf"/><Relationship Id="rId31" Type="http://schemas.openxmlformats.org/officeDocument/2006/relationships/image" Target="media/image25.wmf"/><Relationship Id="rId44" Type="http://schemas.openxmlformats.org/officeDocument/2006/relationships/image" Target="media/image38.wmf"/><Relationship Id="rId52" Type="http://schemas.openxmlformats.org/officeDocument/2006/relationships/image" Target="media/image46.wmf"/><Relationship Id="rId60" Type="http://schemas.openxmlformats.org/officeDocument/2006/relationships/image" Target="media/image54.wmf"/><Relationship Id="rId65" Type="http://schemas.openxmlformats.org/officeDocument/2006/relationships/image" Target="media/image59.wmf"/><Relationship Id="rId73" Type="http://schemas.openxmlformats.org/officeDocument/2006/relationships/image" Target="media/image67.wmf"/><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2.wmf"/><Relationship Id="rId39" Type="http://schemas.openxmlformats.org/officeDocument/2006/relationships/image" Target="media/image33.wmf"/><Relationship Id="rId34" Type="http://schemas.openxmlformats.org/officeDocument/2006/relationships/image" Target="media/image28.wmf"/><Relationship Id="rId50" Type="http://schemas.openxmlformats.org/officeDocument/2006/relationships/image" Target="media/image44.wmf"/><Relationship Id="rId55" Type="http://schemas.openxmlformats.org/officeDocument/2006/relationships/image" Target="media/image49.wmf"/><Relationship Id="rId76" Type="http://schemas.openxmlformats.org/officeDocument/2006/relationships/image" Target="media/image70.wmf"/><Relationship Id="rId7" Type="http://schemas.openxmlformats.org/officeDocument/2006/relationships/image" Target="media/image1.wmf"/><Relationship Id="rId71" Type="http://schemas.openxmlformats.org/officeDocument/2006/relationships/image" Target="media/image65.wmf"/><Relationship Id="rId2" Type="http://schemas.openxmlformats.org/officeDocument/2006/relationships/styles" Target="styles.xml"/><Relationship Id="rId29" Type="http://schemas.openxmlformats.org/officeDocument/2006/relationships/image" Target="media/image2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5739</Words>
  <Characters>32714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Фрей Валентина Александровна</dc:creator>
  <cp:keywords/>
  <dc:description/>
  <cp:lastModifiedBy>Нестеренко Юлия Артемовна</cp:lastModifiedBy>
  <cp:revision>2</cp:revision>
  <dcterms:created xsi:type="dcterms:W3CDTF">2023-11-15T13:22:00Z</dcterms:created>
  <dcterms:modified xsi:type="dcterms:W3CDTF">2023-11-15T13:22:00Z</dcterms:modified>
</cp:coreProperties>
</file>